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2.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3.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4.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70BD" w:rsidRDefault="0051047F">
      <w:pPr>
        <w:pStyle w:val="af1"/>
        <w:tabs>
          <w:tab w:val="clear" w:pos="4536"/>
          <w:tab w:val="clear" w:pos="9072"/>
          <w:tab w:val="right" w:pos="9282"/>
          <w:tab w:val="right" w:pos="9492"/>
        </w:tabs>
        <w:snapToGrid w:val="0"/>
        <w:rPr>
          <w:rFonts w:ascii="Times New Roman" w:eastAsia="宋体" w:hAnsi="Times New Roman"/>
          <w:sz w:val="22"/>
          <w:szCs w:val="22"/>
          <w:lang w:eastAsia="zh-CN"/>
        </w:rPr>
      </w:pPr>
      <w:bookmarkStart w:id="0" w:name="_Hlk118639744"/>
      <w:bookmarkStart w:id="1" w:name="_GoBack"/>
      <w:bookmarkEnd w:id="0"/>
      <w:bookmarkEnd w:id="1"/>
      <w:r>
        <w:rPr>
          <w:rFonts w:ascii="Times New Roman" w:hAnsi="Times New Roman"/>
          <w:sz w:val="22"/>
          <w:szCs w:val="22"/>
        </w:rPr>
        <w:t>3GPP TSG RAN WG1 Meeting #1</w:t>
      </w:r>
      <w:r>
        <w:rPr>
          <w:rFonts w:ascii="Times New Roman" w:eastAsia="宋体" w:hAnsi="Times New Roman"/>
          <w:sz w:val="22"/>
          <w:szCs w:val="22"/>
          <w:lang w:eastAsia="zh-CN"/>
        </w:rPr>
        <w:t>1</w:t>
      </w:r>
      <w:r>
        <w:rPr>
          <w:rFonts w:ascii="Times New Roman" w:eastAsia="宋体" w:hAnsi="Times New Roman" w:hint="eastAsia"/>
          <w:sz w:val="22"/>
          <w:szCs w:val="22"/>
          <w:lang w:eastAsia="zh-CN"/>
        </w:rPr>
        <w:t>6bis</w:t>
      </w:r>
      <w:r>
        <w:rPr>
          <w:rFonts w:ascii="Times New Roman" w:eastAsia="宋体" w:hAnsi="Times New Roman"/>
          <w:sz w:val="22"/>
          <w:szCs w:val="22"/>
          <w:lang w:eastAsia="zh-CN"/>
        </w:rPr>
        <w:tab/>
      </w:r>
      <w:r>
        <w:rPr>
          <w:rFonts w:ascii="Times New Roman" w:hAnsi="Times New Roman"/>
          <w:sz w:val="22"/>
          <w:szCs w:val="22"/>
          <w:lang w:eastAsia="ja-JP"/>
        </w:rPr>
        <w:t>R1-2402064</w:t>
      </w:r>
    </w:p>
    <w:p w:rsidR="009B70BD" w:rsidRDefault="0051047F">
      <w:pPr>
        <w:snapToGrid w:val="0"/>
        <w:spacing w:line="240" w:lineRule="auto"/>
        <w:rPr>
          <w:b/>
          <w:sz w:val="22"/>
        </w:rPr>
      </w:pPr>
      <w:r>
        <w:rPr>
          <w:b/>
          <w:sz w:val="22"/>
        </w:rPr>
        <w:t xml:space="preserve">Changsha, </w:t>
      </w:r>
      <w:r w:rsidR="006660C9">
        <w:rPr>
          <w:rFonts w:hint="eastAsia"/>
          <w:b/>
          <w:sz w:val="22"/>
        </w:rPr>
        <w:t>Hu</w:t>
      </w:r>
      <w:r w:rsidR="006660C9">
        <w:rPr>
          <w:b/>
          <w:sz w:val="22"/>
        </w:rPr>
        <w:t xml:space="preserve">nan Province, </w:t>
      </w:r>
      <w:r>
        <w:rPr>
          <w:b/>
          <w:sz w:val="22"/>
        </w:rPr>
        <w:t>China,</w:t>
      </w:r>
      <w:r>
        <w:rPr>
          <w:b/>
          <w:sz w:val="22"/>
          <w:lang w:eastAsia="ja-JP"/>
        </w:rPr>
        <w:t xml:space="preserve"> </w:t>
      </w:r>
      <w:r>
        <w:rPr>
          <w:b/>
          <w:sz w:val="22"/>
        </w:rPr>
        <w:t>April 15</w:t>
      </w:r>
      <w:r>
        <w:rPr>
          <w:rFonts w:hint="eastAsia"/>
          <w:b/>
          <w:sz w:val="22"/>
          <w:vertAlign w:val="superscript"/>
        </w:rPr>
        <w:t>th</w:t>
      </w:r>
      <w:r>
        <w:rPr>
          <w:rFonts w:eastAsia="MS Mincho"/>
          <w:b/>
          <w:sz w:val="22"/>
          <w:lang w:eastAsia="ja-JP"/>
        </w:rPr>
        <w:t xml:space="preserve"> –</w:t>
      </w:r>
      <w:r>
        <w:rPr>
          <w:rFonts w:eastAsia="MS Mincho"/>
          <w:b/>
          <w:sz w:val="22"/>
          <w:lang w:eastAsia="en-US"/>
        </w:rPr>
        <w:t xml:space="preserve"> </w:t>
      </w:r>
      <w:r>
        <w:rPr>
          <w:b/>
          <w:sz w:val="22"/>
        </w:rPr>
        <w:t>April 19</w:t>
      </w:r>
      <w:r>
        <w:rPr>
          <w:rFonts w:hint="eastAsia"/>
          <w:b/>
          <w:sz w:val="22"/>
          <w:vertAlign w:val="superscript"/>
        </w:rPr>
        <w:t>th</w:t>
      </w:r>
      <w:r>
        <w:rPr>
          <w:rFonts w:eastAsia="MS Mincho"/>
          <w:b/>
          <w:sz w:val="22"/>
          <w:lang w:eastAsia="ja-JP"/>
        </w:rPr>
        <w:t>, 20</w:t>
      </w:r>
      <w:r>
        <w:rPr>
          <w:b/>
          <w:sz w:val="22"/>
        </w:rPr>
        <w:t>2</w:t>
      </w:r>
      <w:r>
        <w:rPr>
          <w:rFonts w:hint="eastAsia"/>
          <w:b/>
          <w:sz w:val="22"/>
        </w:rPr>
        <w:t>4</w:t>
      </w:r>
    </w:p>
    <w:p w:rsidR="009B70BD" w:rsidRDefault="0051047F">
      <w:pPr>
        <w:pStyle w:val="af1"/>
        <w:tabs>
          <w:tab w:val="clear" w:pos="4536"/>
          <w:tab w:val="left" w:pos="1805"/>
        </w:tabs>
        <w:snapToGrid w:val="0"/>
        <w:spacing w:before="12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9B70BD" w:rsidRDefault="0051047F">
      <w:pPr>
        <w:pStyle w:val="af1"/>
        <w:tabs>
          <w:tab w:val="left" w:pos="1800"/>
        </w:tabs>
        <w:snapToGrid w:val="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Discussion on CSI enhancements</w:t>
      </w:r>
    </w:p>
    <w:p w:rsidR="009B70BD" w:rsidRDefault="0051047F">
      <w:pPr>
        <w:pStyle w:val="af1"/>
        <w:tabs>
          <w:tab w:val="left" w:pos="1800"/>
        </w:tabs>
        <w:snapToGrid w:val="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w:t>
      </w:r>
      <w:r>
        <w:rPr>
          <w:rFonts w:ascii="Times New Roman" w:hAnsi="Times New Roman" w:hint="eastAsia"/>
          <w:sz w:val="22"/>
          <w:szCs w:val="22"/>
          <w:lang w:eastAsia="zh-CN"/>
        </w:rPr>
        <w:t>2</w:t>
      </w:r>
      <w:r>
        <w:rPr>
          <w:rFonts w:ascii="Times New Roman" w:hAnsi="Times New Roman"/>
          <w:sz w:val="22"/>
          <w:szCs w:val="22"/>
          <w:lang w:eastAsia="zh-CN"/>
        </w:rPr>
        <w:t>.2</w:t>
      </w:r>
    </w:p>
    <w:p w:rsidR="009B70BD" w:rsidRDefault="0051047F">
      <w:pPr>
        <w:pBdr>
          <w:bottom w:val="single" w:sz="6" w:space="1" w:color="auto"/>
        </w:pBdr>
        <w:snapToGrid w:val="0"/>
        <w:spacing w:after="24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9B70BD" w:rsidRDefault="0051047F">
      <w:pPr>
        <w:numPr>
          <w:ilvl w:val="0"/>
          <w:numId w:val="8"/>
        </w:numPr>
        <w:tabs>
          <w:tab w:val="clear" w:pos="432"/>
        </w:tabs>
        <w:snapToGrid w:val="0"/>
        <w:spacing w:before="240" w:afterLines="50" w:after="120" w:line="240" w:lineRule="auto"/>
        <w:ind w:left="425" w:hanging="425"/>
        <w:outlineLvl w:val="0"/>
        <w:rPr>
          <w:b/>
          <w:sz w:val="28"/>
          <w:szCs w:val="28"/>
        </w:rPr>
      </w:pPr>
      <w:r>
        <w:rPr>
          <w:b/>
          <w:sz w:val="28"/>
          <w:szCs w:val="28"/>
        </w:rPr>
        <w:t>Introduction</w:t>
      </w:r>
    </w:p>
    <w:p w:rsidR="009B70BD" w:rsidRDefault="0051047F">
      <w:r>
        <w:rPr>
          <w:lang w:val="en-GB"/>
        </w:rPr>
        <w:t>In RAN#</w:t>
      </w:r>
      <w:r>
        <w:rPr>
          <w:rFonts w:hint="eastAsia"/>
        </w:rPr>
        <w:t>102</w:t>
      </w:r>
      <w:r>
        <w:rPr>
          <w:lang w:val="en-GB"/>
        </w:rPr>
        <w:t xml:space="preserve">, </w:t>
      </w:r>
      <w:r>
        <w:t>a new WID for MIMO evolution for downlink and uplink was approved for Rel-1</w:t>
      </w:r>
      <w:r>
        <w:rPr>
          <w:rFonts w:hint="eastAsia"/>
        </w:rPr>
        <w:t>9</w:t>
      </w:r>
      <w:r>
        <w:t xml:space="preserve"> [1]. </w:t>
      </w:r>
      <w:r>
        <w:rPr>
          <w:lang w:val="en-GB"/>
        </w:rPr>
        <w:t>Among items</w:t>
      </w:r>
      <w:r>
        <w:t xml:space="preserve"> in this WID, two aspects corresponding to CSI enhancement(s) are captured, i.e., </w:t>
      </w:r>
      <w:r>
        <w:rPr>
          <w:lang w:eastAsia="en-US"/>
        </w:rPr>
        <w:t>Type-I</w:t>
      </w:r>
      <w:r>
        <w:rPr>
          <w:rFonts w:hint="eastAsia"/>
        </w:rPr>
        <w:t>/Type-II</w:t>
      </w:r>
      <w:r>
        <w:rPr>
          <w:lang w:eastAsia="en-US"/>
        </w:rPr>
        <w:t xml:space="preserve"> codebook refinement supporting up to 128 CSI-RS ports</w:t>
      </w:r>
      <w:r>
        <w:rPr>
          <w:rFonts w:hint="eastAsia"/>
        </w:rPr>
        <w:t>,</w:t>
      </w:r>
      <w:r>
        <w:t xml:space="preserve"> hybrid CSI enhancement and </w:t>
      </w:r>
      <w:r>
        <w:rPr>
          <w:lang w:eastAsia="en-US"/>
        </w:rPr>
        <w:t xml:space="preserve">UE reporting enhancement for CJT </w:t>
      </w:r>
      <w:r>
        <w:rPr>
          <w:rFonts w:hint="eastAsia"/>
        </w:rPr>
        <w:t>calibration in</w:t>
      </w:r>
      <w:r>
        <w:rPr>
          <w:lang w:eastAsia="en-US"/>
        </w:rPr>
        <w:t xml:space="preserve"> non-ideal synchronization and backhaul</w:t>
      </w:r>
      <w:r>
        <w:rPr>
          <w:rFonts w:hint="eastAsia"/>
        </w:rPr>
        <w:t xml:space="preserve"> scenario</w:t>
      </w:r>
      <w:r>
        <w:t>. In this contribution, we elaborate our views on above two aspects, respectively.</w:t>
      </w:r>
    </w:p>
    <w:p w:rsidR="009B70BD" w:rsidRDefault="0051047F">
      <w:pPr>
        <w:keepNext/>
        <w:widowControl w:val="0"/>
        <w:numPr>
          <w:ilvl w:val="0"/>
          <w:numId w:val="8"/>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CSI enhancement for up to 128 CSI-RS ports on FR1</w:t>
      </w:r>
    </w:p>
    <w:p w:rsidR="009B70BD" w:rsidRDefault="0051047F">
      <w:pPr>
        <w:rPr>
          <w:lang w:val="en-GB"/>
        </w:rPr>
      </w:pPr>
      <w:r>
        <w:rPr>
          <w:rFonts w:hint="eastAsia"/>
        </w:rPr>
        <w:t>As the</w:t>
      </w:r>
      <w:r>
        <w:rPr>
          <w:rFonts w:hint="eastAsia"/>
          <w:lang w:val="en-GB"/>
        </w:rPr>
        <w:t xml:space="preserve"> MIMO</w:t>
      </w:r>
      <w:r>
        <w:rPr>
          <w:rFonts w:hint="eastAsia"/>
        </w:rPr>
        <w:t xml:space="preserve"> technology</w:t>
      </w:r>
      <w:r>
        <w:rPr>
          <w:rFonts w:hint="eastAsia"/>
          <w:lang w:val="en-GB"/>
        </w:rPr>
        <w:t xml:space="preserve"> </w:t>
      </w:r>
      <w:r>
        <w:rPr>
          <w:rFonts w:hint="eastAsia"/>
        </w:rPr>
        <w:t>develops</w:t>
      </w:r>
      <w:r>
        <w:rPr>
          <w:rFonts w:hint="eastAsia"/>
          <w:lang w:val="en-GB"/>
        </w:rPr>
        <w:t xml:space="preserve"> from LTE to NR (then to NR-Advanced), </w:t>
      </w:r>
      <w:r>
        <w:rPr>
          <w:rFonts w:hint="eastAsia"/>
        </w:rPr>
        <w:t>the number of antenna ports has been continuously increased to achieve better coverage and higher spectrum efficiency. A</w:t>
      </w:r>
      <w:r>
        <w:rPr>
          <w:lang w:val="en-GB"/>
        </w:rPr>
        <w:t>mong items</w:t>
      </w:r>
      <w:r>
        <w:t xml:space="preserve"> in </w:t>
      </w:r>
      <w:r>
        <w:rPr>
          <w:rFonts w:hint="eastAsia"/>
        </w:rPr>
        <w:t>the</w:t>
      </w:r>
      <w:r>
        <w:t xml:space="preserve"> WID for DL</w:t>
      </w:r>
      <w:r>
        <w:rPr>
          <w:rFonts w:hint="eastAsia"/>
        </w:rPr>
        <w:t>/UL</w:t>
      </w:r>
      <w:r>
        <w:t xml:space="preserve"> MIMO, </w:t>
      </w:r>
      <w:r>
        <w:rPr>
          <w:lang w:val="en-GB"/>
        </w:rPr>
        <w:t xml:space="preserve">the aspects for </w:t>
      </w:r>
      <w:r>
        <w:rPr>
          <w:lang w:eastAsia="en-US"/>
        </w:rPr>
        <w:t xml:space="preserve">CSI </w:t>
      </w:r>
      <w:r>
        <w:t xml:space="preserve">enhancement </w:t>
      </w:r>
      <w:r>
        <w:rPr>
          <w:rFonts w:hint="eastAsia"/>
        </w:rPr>
        <w:t>supporting</w:t>
      </w:r>
      <w:r>
        <w:rPr>
          <w:lang w:eastAsia="en-US"/>
        </w:rPr>
        <w:t xml:space="preserve"> up to 128 CSI-RS ports, targeting FR1</w:t>
      </w:r>
      <w:r>
        <w:rPr>
          <w:rFonts w:hint="eastAsia"/>
        </w:rPr>
        <w:t>,</w:t>
      </w:r>
      <w:r>
        <w:rPr>
          <w:lang w:val="en-GB"/>
        </w:rPr>
        <w:t xml:space="preserve"> are listed </w:t>
      </w:r>
      <w:r>
        <w:t xml:space="preserve">as </w:t>
      </w:r>
      <w:r>
        <w:rPr>
          <w:lang w:val="en-GB"/>
        </w:rPr>
        <w:t>below.</w:t>
      </w:r>
    </w:p>
    <w:tbl>
      <w:tblPr>
        <w:tblStyle w:val="af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B70BD">
        <w:tc>
          <w:tcPr>
            <w:tcW w:w="9351" w:type="dxa"/>
          </w:tcPr>
          <w:p w:rsidR="009B70BD" w:rsidRDefault="0051047F">
            <w:pPr>
              <w:numPr>
                <w:ilvl w:val="0"/>
                <w:numId w:val="9"/>
              </w:numPr>
              <w:snapToGrid w:val="0"/>
              <w:spacing w:after="0"/>
              <w:rPr>
                <w:rFonts w:eastAsia="Times New Roman"/>
                <w:szCs w:val="24"/>
                <w:lang w:eastAsia="en-US"/>
              </w:rPr>
            </w:pPr>
            <w:r>
              <w:rPr>
                <w:rFonts w:eastAsia="Times New Roman"/>
                <w:szCs w:val="24"/>
                <w:lang w:eastAsia="en-US"/>
              </w:rPr>
              <w:t>Specify CSI support for up to 128 CSI-RS ports, targeting FR1</w:t>
            </w:r>
          </w:p>
          <w:p w:rsidR="009B70BD" w:rsidRDefault="0051047F">
            <w:pPr>
              <w:numPr>
                <w:ilvl w:val="1"/>
                <w:numId w:val="9"/>
              </w:numPr>
              <w:snapToGrid w:val="0"/>
              <w:spacing w:after="0"/>
              <w:rPr>
                <w:rFonts w:eastAsia="Times New Roman"/>
                <w:szCs w:val="24"/>
                <w:lang w:eastAsia="en-US"/>
              </w:rPr>
            </w:pPr>
            <w:r>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rsidR="009B70BD" w:rsidRDefault="0051047F">
            <w:pPr>
              <w:numPr>
                <w:ilvl w:val="1"/>
                <w:numId w:val="9"/>
              </w:numPr>
              <w:snapToGrid w:val="0"/>
              <w:spacing w:after="0"/>
              <w:rPr>
                <w:rFonts w:eastAsia="Times New Roman"/>
                <w:szCs w:val="24"/>
                <w:lang w:eastAsia="en-US"/>
              </w:rPr>
            </w:pPr>
            <w:r>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9B70BD" w:rsidRDefault="0051047F">
            <w:pPr>
              <w:numPr>
                <w:ilvl w:val="1"/>
                <w:numId w:val="9"/>
              </w:numPr>
              <w:snapToGrid w:val="0"/>
              <w:spacing w:after="0"/>
              <w:rPr>
                <w:szCs w:val="20"/>
              </w:rPr>
            </w:pPr>
            <w:r>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p>
        </w:tc>
      </w:tr>
    </w:tbl>
    <w:p w:rsidR="009B70BD" w:rsidRDefault="0051047F">
      <w:pPr>
        <w:numPr>
          <w:ilvl w:val="1"/>
          <w:numId w:val="8"/>
        </w:numPr>
        <w:tabs>
          <w:tab w:val="clear" w:pos="576"/>
        </w:tabs>
        <w:snapToGrid w:val="0"/>
        <w:spacing w:before="240" w:afterLines="50" w:after="120" w:line="240" w:lineRule="auto"/>
        <w:ind w:left="567" w:hanging="567"/>
        <w:outlineLvl w:val="1"/>
      </w:pPr>
      <w:r>
        <w:rPr>
          <w:rFonts w:hint="eastAsia"/>
          <w:b/>
          <w:sz w:val="24"/>
          <w:szCs w:val="20"/>
        </w:rPr>
        <w:t>G</w:t>
      </w:r>
      <w:r>
        <w:rPr>
          <w:b/>
          <w:sz w:val="24"/>
          <w:szCs w:val="20"/>
        </w:rPr>
        <w:t xml:space="preserve">eneral features </w:t>
      </w:r>
      <w:r>
        <w:rPr>
          <w:rFonts w:hint="eastAsia"/>
          <w:b/>
          <w:sz w:val="24"/>
          <w:szCs w:val="20"/>
        </w:rPr>
        <w:t>for</w:t>
      </w:r>
      <w:r>
        <w:rPr>
          <w:b/>
          <w:sz w:val="24"/>
          <w:szCs w:val="20"/>
        </w:rPr>
        <w:t xml:space="preserve"> supporting up-to-128-port CSI</w:t>
      </w:r>
    </w:p>
    <w:p w:rsidR="009B70BD" w:rsidRDefault="0051047F">
      <w:pPr>
        <w:tabs>
          <w:tab w:val="left" w:pos="7938"/>
        </w:tabs>
        <w:snapToGrid w:val="0"/>
        <w:spacing w:before="240" w:afterLines="50" w:after="120" w:line="240" w:lineRule="auto"/>
        <w:outlineLvl w:val="2"/>
        <w:rPr>
          <w:b/>
          <w:bCs/>
          <w:sz w:val="21"/>
          <w:szCs w:val="21"/>
        </w:rPr>
      </w:pPr>
      <w:r>
        <w:rPr>
          <w:b/>
          <w:bCs/>
          <w:sz w:val="21"/>
          <w:szCs w:val="21"/>
        </w:rPr>
        <w:t>2.1.</w:t>
      </w:r>
      <w:r>
        <w:rPr>
          <w:rFonts w:hint="eastAsia"/>
          <w:b/>
          <w:bCs/>
          <w:sz w:val="21"/>
          <w:szCs w:val="21"/>
        </w:rPr>
        <w:t>1</w:t>
      </w:r>
      <w:r>
        <w:rPr>
          <w:b/>
          <w:bCs/>
          <w:sz w:val="21"/>
          <w:szCs w:val="21"/>
        </w:rPr>
        <w:t xml:space="preserve"> </w:t>
      </w:r>
      <w:r>
        <w:rPr>
          <w:rFonts w:hint="eastAsia"/>
          <w:b/>
          <w:bCs/>
          <w:sz w:val="21"/>
          <w:szCs w:val="21"/>
        </w:rPr>
        <w:t>CSI-RS configuration</w:t>
      </w:r>
    </w:p>
    <w:p w:rsidR="0000133A" w:rsidRPr="002A74A3" w:rsidRDefault="0000133A" w:rsidP="002A74A3">
      <w:pPr>
        <w:tabs>
          <w:tab w:val="left" w:pos="420"/>
        </w:tabs>
        <w:snapToGrid w:val="0"/>
        <w:spacing w:beforeLines="50" w:before="120" w:afterLines="50" w:after="120" w:line="300" w:lineRule="auto"/>
        <w:rPr>
          <w:bCs/>
          <w:sz w:val="21"/>
          <w:szCs w:val="21"/>
        </w:rPr>
      </w:pPr>
      <w:r>
        <w:rPr>
          <w:bCs/>
          <w:sz w:val="21"/>
          <w:szCs w:val="21"/>
        </w:rPr>
        <w:t xml:space="preserve">In RAN1#116 meeting, we reached the following two agreements for </w:t>
      </w:r>
      <w:r w:rsidR="00457976">
        <w:rPr>
          <w:bCs/>
          <w:sz w:val="21"/>
          <w:szCs w:val="21"/>
        </w:rPr>
        <w:t xml:space="preserve">the </w:t>
      </w:r>
      <w:r>
        <w:rPr>
          <w:bCs/>
          <w:sz w:val="21"/>
          <w:szCs w:val="21"/>
        </w:rPr>
        <w:t xml:space="preserve">CSI-RS configuration </w:t>
      </w:r>
      <w:r w:rsidR="00457976">
        <w:rPr>
          <w:bCs/>
          <w:sz w:val="21"/>
          <w:szCs w:val="21"/>
        </w:rPr>
        <w:t>with up to 128 antenna ports</w:t>
      </w:r>
      <w:r>
        <w:rPr>
          <w:bCs/>
          <w:sz w:val="21"/>
          <w:szCs w:val="21"/>
        </w:rPr>
        <w:t>.</w:t>
      </w:r>
    </w:p>
    <w:tbl>
      <w:tblPr>
        <w:tblStyle w:val="af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70BD">
        <w:tc>
          <w:tcPr>
            <w:tcW w:w="9576" w:type="dxa"/>
          </w:tcPr>
          <w:p w:rsidR="009B70BD" w:rsidRDefault="0051047F">
            <w:pPr>
              <w:widowControl w:val="0"/>
              <w:snapToGrid w:val="0"/>
              <w:spacing w:after="0" w:line="300" w:lineRule="auto"/>
              <w:rPr>
                <w:szCs w:val="20"/>
                <w:u w:val="single"/>
              </w:rPr>
            </w:pPr>
            <w:r>
              <w:rPr>
                <w:b/>
                <w:szCs w:val="20"/>
                <w:u w:val="single"/>
              </w:rPr>
              <w:t>Agreement (RAN1#116)</w:t>
            </w:r>
          </w:p>
          <w:p w:rsidR="009B70BD" w:rsidRDefault="0051047F">
            <w:pPr>
              <w:snapToGrid w:val="0"/>
              <w:spacing w:after="0" w:line="240" w:lineRule="exact"/>
              <w:jc w:val="left"/>
              <w:rPr>
                <w:rFonts w:eastAsia="Batang"/>
                <w:iCs/>
                <w:szCs w:val="20"/>
                <w:lang w:val="en-GB" w:eastAsia="en-US"/>
              </w:rPr>
            </w:pPr>
            <w:r>
              <w:rPr>
                <w:rFonts w:eastAsia="Batang"/>
                <w:szCs w:val="20"/>
                <w:lang w:val="en-GB" w:eastAsia="en-US"/>
              </w:rPr>
              <w:t xml:space="preserve">For the </w:t>
            </w:r>
            <w:r>
              <w:rPr>
                <w:rFonts w:eastAsia="Batang"/>
                <w:iCs/>
                <w:szCs w:val="20"/>
                <w:lang w:val="en-GB" w:eastAsia="en-US"/>
              </w:rPr>
              <w:t>Rel-19 Type-I and Type-II codebook refinement for up to 128 CSI-RS ports, regarding NZP CSI-RS resource aggregation to attain 32 &lt; P (or P</w:t>
            </w:r>
            <w:r>
              <w:rPr>
                <w:rFonts w:eastAsia="Batang"/>
                <w:iCs/>
                <w:szCs w:val="20"/>
                <w:vertAlign w:val="subscript"/>
                <w:lang w:val="en-GB" w:eastAsia="en-US"/>
              </w:rPr>
              <w:t>CSI-RS</w:t>
            </w:r>
            <w:r>
              <w:rPr>
                <w:rFonts w:eastAsia="Batang"/>
                <w:iCs/>
                <w:szCs w:val="20"/>
                <w:lang w:val="en-GB" w:eastAsia="en-US"/>
              </w:rPr>
              <w:t>)</w:t>
            </w:r>
            <w:r>
              <w:rPr>
                <w:rFonts w:eastAsia="Batang"/>
                <w:iCs/>
                <w:szCs w:val="20"/>
                <w:vertAlign w:val="subscript"/>
                <w:lang w:val="en-GB" w:eastAsia="en-US"/>
              </w:rPr>
              <w:t xml:space="preserve"> </w:t>
            </w:r>
            <w:r>
              <w:rPr>
                <w:rFonts w:eastAsia="Batang" w:hint="eastAsia"/>
                <w:iCs/>
                <w:szCs w:val="20"/>
                <w:lang w:val="en-GB" w:eastAsia="en-US"/>
              </w:rPr>
              <w:t>≤</w:t>
            </w:r>
            <w:r>
              <w:rPr>
                <w:rFonts w:eastAsia="Batang" w:hint="eastAsia"/>
                <w:iCs/>
                <w:szCs w:val="20"/>
                <w:lang w:val="en-GB" w:eastAsia="en-US"/>
              </w:rPr>
              <w:t xml:space="preserve"> </w:t>
            </w:r>
            <w:r>
              <w:rPr>
                <w:rFonts w:eastAsia="Batang"/>
                <w:iCs/>
                <w:szCs w:val="20"/>
                <w:lang w:val="en-GB" w:eastAsia="en-US"/>
              </w:rPr>
              <w:t>128, support aggregating at least K=2, 3, or 4 legacy NZP CSI-RS resources with equal number of ports</w:t>
            </w:r>
          </w:p>
          <w:p w:rsidR="009B70BD" w:rsidRDefault="0051047F">
            <w:pPr>
              <w:numPr>
                <w:ilvl w:val="0"/>
                <w:numId w:val="10"/>
              </w:numPr>
              <w:snapToGrid w:val="0"/>
              <w:spacing w:after="0" w:line="240" w:lineRule="exact"/>
              <w:rPr>
                <w:rFonts w:eastAsia="Batang"/>
                <w:iCs/>
                <w:szCs w:val="20"/>
                <w:lang w:val="en-GB" w:eastAsia="en-US"/>
              </w:rPr>
            </w:pPr>
            <w:r>
              <w:rPr>
                <w:rFonts w:eastAsia="Batang"/>
                <w:iCs/>
                <w:szCs w:val="20"/>
                <w:lang w:val="en-GB" w:eastAsia="en-US"/>
              </w:rPr>
              <w:t xml:space="preserve">FFS (by RAN1#116bis): Mapping from CSI-RS resource index/port index per resource and port index to CSI/PMI calculation, also considering co-existence with pre-Rel-19 UEs </w:t>
            </w:r>
          </w:p>
          <w:p w:rsidR="009B70BD" w:rsidRDefault="0051047F">
            <w:pPr>
              <w:numPr>
                <w:ilvl w:val="0"/>
                <w:numId w:val="10"/>
              </w:numPr>
              <w:snapToGrid w:val="0"/>
              <w:spacing w:after="0" w:line="240" w:lineRule="exact"/>
              <w:rPr>
                <w:rFonts w:eastAsia="Batang"/>
                <w:iCs/>
                <w:szCs w:val="20"/>
                <w:lang w:val="en-GB" w:eastAsia="en-US"/>
              </w:rPr>
            </w:pPr>
            <w:r>
              <w:rPr>
                <w:rFonts w:eastAsia="Batang"/>
                <w:iCs/>
                <w:szCs w:val="20"/>
                <w:lang w:val="en-GB" w:eastAsia="en-US"/>
              </w:rPr>
              <w:t xml:space="preserve">FFS (by RAN1#116bis): whether the Rel-18 CJT CMR restrictions (where all resources shall be located within 2 consecutive slots) are reused, or additional restriction(s) are introduced (e.g. </w:t>
            </w:r>
            <w:proofErr w:type="spellStart"/>
            <w:r>
              <w:rPr>
                <w:rFonts w:eastAsia="Batang"/>
                <w:iCs/>
                <w:szCs w:val="20"/>
                <w:lang w:val="en-GB" w:eastAsia="en-US"/>
              </w:rPr>
              <w:t>PCoffset</w:t>
            </w:r>
            <w:proofErr w:type="spellEnd"/>
            <w:r>
              <w:rPr>
                <w:rFonts w:eastAsia="Batang"/>
                <w:iCs/>
                <w:szCs w:val="20"/>
                <w:lang w:val="en-GB" w:eastAsia="en-US"/>
              </w:rPr>
              <w:t>, CDM type, RS density, TD (co-located in a slot</w:t>
            </w:r>
            <w:proofErr w:type="gramStart"/>
            <w:r>
              <w:rPr>
                <w:rFonts w:eastAsia="Batang"/>
                <w:iCs/>
                <w:szCs w:val="20"/>
                <w:lang w:val="en-GB" w:eastAsia="en-US"/>
              </w:rPr>
              <w:t>)/FD locations</w:t>
            </w:r>
            <w:proofErr w:type="gramEnd"/>
            <w:r>
              <w:rPr>
                <w:rFonts w:eastAsia="Batang"/>
                <w:iCs/>
                <w:szCs w:val="20"/>
                <w:lang w:val="en-GB" w:eastAsia="en-US"/>
              </w:rPr>
              <w:t>, QCL, …)</w:t>
            </w:r>
          </w:p>
          <w:p w:rsidR="009B70BD" w:rsidRDefault="0051047F">
            <w:pPr>
              <w:numPr>
                <w:ilvl w:val="0"/>
                <w:numId w:val="10"/>
              </w:numPr>
              <w:snapToGrid w:val="0"/>
              <w:spacing w:after="0" w:line="240" w:lineRule="exact"/>
              <w:rPr>
                <w:rFonts w:eastAsia="Batang"/>
                <w:iCs/>
                <w:szCs w:val="20"/>
                <w:lang w:val="en-GB" w:eastAsia="en-US"/>
              </w:rPr>
            </w:pPr>
            <w:r>
              <w:rPr>
                <w:rFonts w:eastAsia="Batang"/>
                <w:iCs/>
                <w:szCs w:val="20"/>
                <w:lang w:val="en-GB" w:eastAsia="en-US"/>
              </w:rPr>
              <w:lastRenderedPageBreak/>
              <w:t>FFS (by RAN1#116bis): Whether legacy resource configuration for interference measurement is reused, or additional restriction(s) are introduced</w:t>
            </w:r>
          </w:p>
          <w:p w:rsidR="009B70BD" w:rsidRDefault="0051047F">
            <w:pPr>
              <w:numPr>
                <w:ilvl w:val="0"/>
                <w:numId w:val="10"/>
              </w:numPr>
              <w:snapToGrid w:val="0"/>
              <w:spacing w:after="0" w:line="240" w:lineRule="exact"/>
              <w:rPr>
                <w:rFonts w:eastAsia="Batang"/>
                <w:iCs/>
                <w:szCs w:val="20"/>
                <w:lang w:val="en-GB" w:eastAsia="en-US"/>
              </w:rPr>
            </w:pPr>
            <w:r>
              <w:rPr>
                <w:rFonts w:eastAsia="Batang"/>
                <w:iCs/>
                <w:szCs w:val="20"/>
                <w:lang w:val="en-GB" w:eastAsia="en-US"/>
              </w:rPr>
              <w:t>FFS: Whether all the K CSI-RS resources are associated with a same CSI-RS resource set or not</w:t>
            </w:r>
          </w:p>
          <w:p w:rsidR="009B70BD" w:rsidRDefault="0051047F">
            <w:pPr>
              <w:numPr>
                <w:ilvl w:val="0"/>
                <w:numId w:val="10"/>
              </w:numPr>
              <w:snapToGrid w:val="0"/>
              <w:spacing w:after="0" w:line="240" w:lineRule="exact"/>
              <w:rPr>
                <w:rFonts w:eastAsia="Batang"/>
                <w:iCs/>
                <w:szCs w:val="20"/>
                <w:lang w:val="en-GB" w:eastAsia="en-US"/>
              </w:rPr>
            </w:pPr>
            <w:r>
              <w:rPr>
                <w:rFonts w:eastAsia="Batang"/>
                <w:iCs/>
                <w:szCs w:val="20"/>
                <w:lang w:val="en-GB" w:eastAsia="en-US"/>
              </w:rPr>
              <w:t>Note: If the supported number of ports does not require aggregation of 3 resources, K=3 can be removed</w:t>
            </w:r>
          </w:p>
          <w:p w:rsidR="009B70BD" w:rsidRDefault="0051047F">
            <w:pPr>
              <w:widowControl w:val="0"/>
              <w:snapToGrid w:val="0"/>
              <w:spacing w:after="0" w:line="300" w:lineRule="auto"/>
              <w:rPr>
                <w:szCs w:val="20"/>
                <w:u w:val="single"/>
              </w:rPr>
            </w:pPr>
            <w:r>
              <w:rPr>
                <w:b/>
                <w:szCs w:val="20"/>
                <w:u w:val="single"/>
              </w:rPr>
              <w:t>Agreement (RAN1#116)</w:t>
            </w:r>
          </w:p>
          <w:p w:rsidR="009B70BD" w:rsidRDefault="0051047F">
            <w:pPr>
              <w:widowControl w:val="0"/>
              <w:snapToGrid w:val="0"/>
              <w:spacing w:after="0" w:line="240" w:lineRule="exact"/>
              <w:jc w:val="left"/>
              <w:rPr>
                <w:rFonts w:eastAsia="Batang"/>
                <w:iCs/>
                <w:szCs w:val="20"/>
                <w:lang w:val="en-GB" w:eastAsia="en-US"/>
              </w:rPr>
            </w:pPr>
            <w:r>
              <w:rPr>
                <w:rFonts w:eastAsia="Batang"/>
                <w:iCs/>
                <w:szCs w:val="20"/>
                <w:lang w:val="en-GB" w:eastAsia="en-US"/>
              </w:rPr>
              <w:t xml:space="preserve">For the Rel-19 Type-II codebook refinement for up to 128 CSI-RS ports, </w:t>
            </w:r>
            <w:r>
              <w:rPr>
                <w:rFonts w:eastAsia="Batang"/>
                <w:i/>
                <w:iCs/>
                <w:szCs w:val="20"/>
                <w:lang w:val="en-GB" w:eastAsia="en-US"/>
              </w:rPr>
              <w:t>in accordance to the WID</w:t>
            </w:r>
            <w:r>
              <w:rPr>
                <w:rFonts w:eastAsia="Batang"/>
                <w:iCs/>
                <w:szCs w:val="20"/>
                <w:lang w:val="en-GB" w:eastAsia="en-US"/>
              </w:rPr>
              <w:t>, the following enhancement areas are supported:</w:t>
            </w:r>
          </w:p>
          <w:p w:rsidR="009B70BD" w:rsidRDefault="0051047F">
            <w:pPr>
              <w:widowControl w:val="0"/>
              <w:numPr>
                <w:ilvl w:val="0"/>
                <w:numId w:val="11"/>
              </w:numPr>
              <w:snapToGrid w:val="0"/>
              <w:spacing w:after="0" w:line="240" w:lineRule="exact"/>
              <w:rPr>
                <w:rFonts w:eastAsia="Batang"/>
                <w:szCs w:val="20"/>
                <w:lang w:val="en-GB" w:eastAsia="en-US"/>
              </w:rPr>
            </w:pPr>
            <w:r>
              <w:rPr>
                <w:rFonts w:eastAsia="Batang"/>
                <w:szCs w:val="20"/>
                <w:lang w:val="en-GB" w:eastAsia="en-US"/>
              </w:rPr>
              <w:t>Adding new (N</w:t>
            </w:r>
            <w:r>
              <w:rPr>
                <w:rFonts w:eastAsia="Batang"/>
                <w:szCs w:val="20"/>
                <w:vertAlign w:val="subscript"/>
                <w:lang w:val="en-GB" w:eastAsia="en-US"/>
              </w:rPr>
              <w:t>1</w:t>
            </w:r>
            <w:r>
              <w:rPr>
                <w:rFonts w:eastAsia="Batang"/>
                <w:szCs w:val="20"/>
                <w:lang w:val="en-GB" w:eastAsia="en-US"/>
              </w:rPr>
              <w:t>, N</w:t>
            </w:r>
            <w:r>
              <w:rPr>
                <w:rFonts w:eastAsia="Batang"/>
                <w:szCs w:val="20"/>
                <w:vertAlign w:val="subscript"/>
                <w:lang w:val="en-GB" w:eastAsia="en-US"/>
              </w:rPr>
              <w:t>2</w:t>
            </w:r>
            <w:r>
              <w:rPr>
                <w:rFonts w:eastAsia="Batang"/>
                <w:szCs w:val="20"/>
                <w:lang w:val="en-GB" w:eastAsia="en-US"/>
              </w:rPr>
              <w:t xml:space="preserve">) values for the Rel-16 </w:t>
            </w:r>
            <w:proofErr w:type="spellStart"/>
            <w:r>
              <w:rPr>
                <w:rFonts w:eastAsia="Batang"/>
                <w:szCs w:val="20"/>
                <w:lang w:val="en-GB" w:eastAsia="en-US"/>
              </w:rPr>
              <w:t>eType</w:t>
            </w:r>
            <w:proofErr w:type="spellEnd"/>
            <w:r>
              <w:rPr>
                <w:rFonts w:eastAsia="Batang"/>
                <w:szCs w:val="20"/>
                <w:lang w:val="en-GB" w:eastAsia="en-US"/>
              </w:rPr>
              <w:t>-II regular and Rel-18 Type-II Doppler regular codebooks where 2N</w:t>
            </w:r>
            <w:r>
              <w:rPr>
                <w:rFonts w:eastAsia="Batang"/>
                <w:szCs w:val="20"/>
                <w:vertAlign w:val="subscript"/>
                <w:lang w:val="en-GB" w:eastAsia="en-US"/>
              </w:rPr>
              <w:t>1</w:t>
            </w:r>
            <w:r>
              <w:rPr>
                <w:rFonts w:eastAsia="Batang"/>
                <w:szCs w:val="20"/>
                <w:lang w:val="en-GB" w:eastAsia="en-US"/>
              </w:rPr>
              <w:t>N</w:t>
            </w:r>
            <w:r>
              <w:rPr>
                <w:rFonts w:eastAsia="Batang"/>
                <w:szCs w:val="20"/>
                <w:vertAlign w:val="subscript"/>
                <w:lang w:val="en-GB" w:eastAsia="en-US"/>
              </w:rPr>
              <w:t>2</w:t>
            </w:r>
            <w:r>
              <w:rPr>
                <w:rFonts w:eastAsia="Batang"/>
                <w:szCs w:val="20"/>
                <w:lang w:val="en-GB" w:eastAsia="en-US"/>
              </w:rPr>
              <w:t xml:space="preserve"> (&gt;32) is the total number of CSI-RS ports across aggregated NZP CSI-RS resources, and O</w:t>
            </w:r>
            <w:r>
              <w:rPr>
                <w:rFonts w:eastAsia="Batang"/>
                <w:szCs w:val="20"/>
                <w:vertAlign w:val="subscript"/>
                <w:lang w:val="en-GB" w:eastAsia="en-US"/>
              </w:rPr>
              <w:t>1</w:t>
            </w:r>
            <w:r>
              <w:rPr>
                <w:rFonts w:eastAsia="Batang"/>
                <w:szCs w:val="20"/>
                <w:lang w:val="en-GB" w:eastAsia="en-US"/>
              </w:rPr>
              <w:t>=O</w:t>
            </w:r>
            <w:r>
              <w:rPr>
                <w:rFonts w:eastAsia="Batang"/>
                <w:szCs w:val="20"/>
                <w:vertAlign w:val="subscript"/>
                <w:lang w:val="en-GB" w:eastAsia="en-US"/>
              </w:rPr>
              <w:t>2</w:t>
            </w:r>
            <w:r>
              <w:rPr>
                <w:rFonts w:eastAsia="Batang"/>
                <w:szCs w:val="20"/>
                <w:lang w:val="en-GB" w:eastAsia="en-US"/>
              </w:rPr>
              <w:t>=4</w:t>
            </w:r>
          </w:p>
          <w:p w:rsidR="009B70BD" w:rsidRDefault="0051047F">
            <w:pPr>
              <w:widowControl w:val="0"/>
              <w:numPr>
                <w:ilvl w:val="1"/>
                <w:numId w:val="11"/>
              </w:numPr>
              <w:snapToGrid w:val="0"/>
              <w:spacing w:after="0" w:line="240" w:lineRule="exact"/>
              <w:rPr>
                <w:rFonts w:eastAsia="Batang"/>
                <w:szCs w:val="20"/>
                <w:lang w:val="en-GB" w:eastAsia="en-US"/>
              </w:rPr>
            </w:pPr>
            <w:r>
              <w:rPr>
                <w:rFonts w:eastAsia="Batang"/>
                <w:szCs w:val="20"/>
                <w:lang w:val="en-GB" w:eastAsia="en-US"/>
              </w:rPr>
              <w:t>FFS: How to configure the aggregated NZP CSI-RS resources when AP-CSI-RS resources are configured as CMR for Rel-18 Type-II Doppler codebooks</w:t>
            </w:r>
          </w:p>
          <w:p w:rsidR="009B70BD" w:rsidRDefault="0051047F">
            <w:pPr>
              <w:widowControl w:val="0"/>
              <w:numPr>
                <w:ilvl w:val="0"/>
                <w:numId w:val="11"/>
              </w:numPr>
              <w:snapToGrid w:val="0"/>
              <w:spacing w:after="0" w:line="240" w:lineRule="exact"/>
              <w:rPr>
                <w:rFonts w:eastAsia="Batang"/>
                <w:szCs w:val="20"/>
                <w:lang w:val="en-GB" w:eastAsia="en-US"/>
              </w:rPr>
            </w:pPr>
            <w:r>
              <w:rPr>
                <w:rFonts w:eastAsia="Batang"/>
                <w:szCs w:val="20"/>
                <w:lang w:val="en-GB" w:eastAsia="en-US"/>
              </w:rPr>
              <w:t>Adding new P</w:t>
            </w:r>
            <w:r>
              <w:rPr>
                <w:rFonts w:eastAsia="Batang"/>
                <w:szCs w:val="20"/>
                <w:vertAlign w:val="subscript"/>
                <w:lang w:val="en-GB" w:eastAsia="en-US"/>
              </w:rPr>
              <w:t xml:space="preserve">CSI-RS </w:t>
            </w:r>
            <w:r>
              <w:rPr>
                <w:rFonts w:eastAsia="Batang"/>
                <w:szCs w:val="20"/>
                <w:lang w:val="en-GB" w:eastAsia="en-US"/>
              </w:rPr>
              <w:t xml:space="preserve">values for Rel-17 </w:t>
            </w:r>
            <w:proofErr w:type="spellStart"/>
            <w:r>
              <w:rPr>
                <w:rFonts w:eastAsia="Batang"/>
                <w:szCs w:val="20"/>
                <w:lang w:val="en-GB" w:eastAsia="en-US"/>
              </w:rPr>
              <w:t>FeType</w:t>
            </w:r>
            <w:proofErr w:type="spellEnd"/>
            <w:r>
              <w:rPr>
                <w:rFonts w:eastAsia="Batang"/>
                <w:szCs w:val="20"/>
                <w:lang w:val="en-GB" w:eastAsia="en-US"/>
              </w:rPr>
              <w:t>-II Port Selection (PS) codebook where P</w:t>
            </w:r>
            <w:r>
              <w:rPr>
                <w:rFonts w:eastAsia="Batang"/>
                <w:szCs w:val="20"/>
                <w:vertAlign w:val="subscript"/>
                <w:lang w:val="en-GB" w:eastAsia="en-US"/>
              </w:rPr>
              <w:t xml:space="preserve">CSI-RS </w:t>
            </w:r>
            <w:r>
              <w:rPr>
                <w:rFonts w:eastAsia="Batang"/>
                <w:szCs w:val="20"/>
                <w:lang w:val="en-GB" w:eastAsia="en-US"/>
              </w:rPr>
              <w:t>(&gt;32) is the total number of CSI-RS ports across aggregated NZP CSI-RS resources</w:t>
            </w:r>
          </w:p>
          <w:p w:rsidR="009B70BD" w:rsidRDefault="0051047F">
            <w:pPr>
              <w:widowControl w:val="0"/>
              <w:snapToGrid w:val="0"/>
              <w:spacing w:after="0" w:line="240" w:lineRule="exact"/>
              <w:rPr>
                <w:rFonts w:eastAsia="Batang"/>
                <w:szCs w:val="20"/>
                <w:lang w:val="en-GB" w:eastAsia="en-US"/>
              </w:rPr>
            </w:pPr>
            <w:r>
              <w:rPr>
                <w:rFonts w:eastAsia="Batang"/>
                <w:szCs w:val="20"/>
                <w:lang w:val="en-GB" w:eastAsia="en-US"/>
              </w:rPr>
              <w:t>There will be separate UE feature groups for each of the enhanced codebooks.</w:t>
            </w:r>
          </w:p>
          <w:p w:rsidR="009B70BD" w:rsidRDefault="009B70BD">
            <w:pPr>
              <w:widowControl w:val="0"/>
              <w:snapToGrid w:val="0"/>
              <w:spacing w:after="0" w:line="240" w:lineRule="exact"/>
              <w:jc w:val="left"/>
              <w:rPr>
                <w:rFonts w:eastAsia="Batang"/>
                <w:szCs w:val="20"/>
                <w:lang w:val="en-GB" w:eastAsia="en-US"/>
              </w:rPr>
            </w:pPr>
          </w:p>
          <w:p w:rsidR="009B70BD" w:rsidRDefault="0051047F">
            <w:pPr>
              <w:widowControl w:val="0"/>
              <w:snapToGrid w:val="0"/>
              <w:spacing w:after="0" w:line="240" w:lineRule="exact"/>
              <w:jc w:val="left"/>
              <w:rPr>
                <w:rFonts w:eastAsia="Batang"/>
                <w:szCs w:val="20"/>
                <w:lang w:val="en-GB" w:eastAsia="en-US"/>
              </w:rPr>
            </w:pPr>
            <w:r>
              <w:rPr>
                <w:rFonts w:eastAsia="Batang"/>
                <w:szCs w:val="20"/>
                <w:lang w:val="en-GB" w:eastAsia="en-US"/>
              </w:rPr>
              <w:t xml:space="preserve">Note: Per WID objective 2b, </w:t>
            </w:r>
          </w:p>
          <w:p w:rsidR="009B70BD" w:rsidRDefault="0051047F">
            <w:pPr>
              <w:widowControl w:val="0"/>
              <w:numPr>
                <w:ilvl w:val="0"/>
                <w:numId w:val="12"/>
              </w:numPr>
              <w:snapToGrid w:val="0"/>
              <w:spacing w:after="0" w:line="240" w:lineRule="exact"/>
              <w:rPr>
                <w:rFonts w:eastAsia="Batang"/>
                <w:szCs w:val="20"/>
                <w:lang w:val="en-GB" w:eastAsia="en-US"/>
              </w:rPr>
            </w:pPr>
            <w:r>
              <w:rPr>
                <w:rFonts w:eastAsia="Batang"/>
                <w:szCs w:val="20"/>
                <w:lang w:val="en-GB" w:eastAsia="en-US"/>
              </w:rPr>
              <w:t>No other legacy codebook design aspects (such as SD/FD/DD basis design including O</w:t>
            </w:r>
            <w:r>
              <w:rPr>
                <w:rFonts w:eastAsia="Batang"/>
                <w:szCs w:val="20"/>
                <w:vertAlign w:val="subscript"/>
                <w:lang w:val="en-GB" w:eastAsia="en-US"/>
              </w:rPr>
              <w:t>1</w:t>
            </w:r>
            <w:r>
              <w:rPr>
                <w:rFonts w:eastAsia="Batang"/>
                <w:szCs w:val="20"/>
                <w:lang w:val="en-GB" w:eastAsia="en-US"/>
              </w:rPr>
              <w:t>/O</w:t>
            </w:r>
            <w:r>
              <w:rPr>
                <w:rFonts w:eastAsia="Batang"/>
                <w:szCs w:val="20"/>
                <w:vertAlign w:val="subscript"/>
                <w:lang w:val="en-GB" w:eastAsia="en-US"/>
              </w:rPr>
              <w:t>2</w:t>
            </w:r>
            <w:r>
              <w:rPr>
                <w:rFonts w:eastAsia="Batang"/>
                <w:szCs w:val="20"/>
                <w:lang w:val="en-GB" w:eastAsia="en-US"/>
              </w:rPr>
              <w:t>, W</w:t>
            </w:r>
            <w:r>
              <w:rPr>
                <w:rFonts w:eastAsia="Batang"/>
                <w:szCs w:val="20"/>
                <w:vertAlign w:val="subscript"/>
                <w:lang w:val="en-GB" w:eastAsia="en-US"/>
              </w:rPr>
              <w:t>2</w:t>
            </w:r>
            <w:r>
              <w:rPr>
                <w:rFonts w:eastAsia="Batang"/>
                <w:szCs w:val="20"/>
                <w:lang w:val="en-GB" w:eastAsia="en-US"/>
              </w:rPr>
              <w:t>/combining coefficient design, codebook parameter definitions and respective values) can be modified.</w:t>
            </w:r>
          </w:p>
          <w:p w:rsidR="009B70BD" w:rsidRDefault="0051047F">
            <w:pPr>
              <w:tabs>
                <w:tab w:val="left" w:pos="420"/>
              </w:tabs>
              <w:snapToGrid w:val="0"/>
              <w:spacing w:after="0" w:line="240" w:lineRule="exact"/>
              <w:rPr>
                <w:bCs/>
                <w:kern w:val="2"/>
                <w:szCs w:val="20"/>
              </w:rPr>
            </w:pPr>
            <w:r>
              <w:rPr>
                <w:rFonts w:eastAsia="Batang"/>
                <w:szCs w:val="20"/>
                <w:lang w:val="en-GB" w:eastAsia="en-US"/>
              </w:rPr>
              <w:t>Only RI=1-4 is supported</w:t>
            </w:r>
          </w:p>
        </w:tc>
      </w:tr>
    </w:tbl>
    <w:p w:rsidR="00571177" w:rsidRPr="00FD1D26" w:rsidRDefault="002E7ACC">
      <w:pPr>
        <w:tabs>
          <w:tab w:val="left" w:pos="420"/>
        </w:tabs>
        <w:snapToGrid w:val="0"/>
        <w:spacing w:beforeLines="50" w:before="120" w:afterLines="50" w:after="120" w:line="300" w:lineRule="auto"/>
        <w:rPr>
          <w:bCs/>
          <w:kern w:val="2"/>
          <w:szCs w:val="20"/>
        </w:rPr>
      </w:pPr>
      <w:r>
        <w:rPr>
          <w:bCs/>
          <w:kern w:val="2"/>
          <w:szCs w:val="20"/>
        </w:rPr>
        <w:lastRenderedPageBreak/>
        <w:t>Based on the WID, to support up-to-128 port CSI/PMI reporting, multiple legacy CSI-RS</w:t>
      </w:r>
      <w:r w:rsidR="005B5125">
        <w:rPr>
          <w:bCs/>
          <w:kern w:val="2"/>
          <w:szCs w:val="20"/>
        </w:rPr>
        <w:t xml:space="preserve"> resources</w:t>
      </w:r>
      <w:r>
        <w:rPr>
          <w:bCs/>
          <w:kern w:val="2"/>
          <w:szCs w:val="20"/>
        </w:rPr>
        <w:t xml:space="preserve"> need to be aggregated to measure the channel. Then the mapping from antenna ports across different CSI-RS resources to CSI/PMI calculation should be specified firstly.</w:t>
      </w:r>
      <w:r w:rsidR="00556836">
        <w:rPr>
          <w:bCs/>
          <w:kern w:val="2"/>
          <w:szCs w:val="20"/>
        </w:rPr>
        <w:t xml:space="preserve"> Considering there may exist both Rel-19 and legacy UEs in a common cell, for the sake of CSI-RS resource saving, each of the</w:t>
      </w:r>
      <w:r w:rsidR="00FD1D26">
        <w:rPr>
          <w:bCs/>
          <w:kern w:val="2"/>
          <w:szCs w:val="20"/>
        </w:rPr>
        <w:t xml:space="preserve"> K</w:t>
      </w:r>
      <w:r w:rsidR="00556836">
        <w:rPr>
          <w:bCs/>
          <w:kern w:val="2"/>
          <w:szCs w:val="20"/>
        </w:rPr>
        <w:t xml:space="preserve"> aggregated CSI-RS resources should usable for the legacy UEs. From this perspective, for each aggregated CSI-RS, half of its antenna ports should be mapped to the first polarization, and the other half of its ports should be</w:t>
      </w:r>
      <w:r w:rsidR="00FD1D26">
        <w:rPr>
          <w:bCs/>
          <w:kern w:val="2"/>
          <w:szCs w:val="20"/>
        </w:rPr>
        <w:t xml:space="preserve"> mapped to the second</w:t>
      </w:r>
      <w:r w:rsidR="00556836">
        <w:rPr>
          <w:bCs/>
          <w:kern w:val="2"/>
          <w:szCs w:val="20"/>
        </w:rPr>
        <w:t xml:space="preserve"> polarization. In other words, each aggregated CSI-RS resource is transmitted using a subpanel </w:t>
      </w:r>
      <w:r w:rsidR="00AD296F">
        <w:rPr>
          <w:bCs/>
          <w:kern w:val="2"/>
          <w:szCs w:val="20"/>
        </w:rPr>
        <w:t xml:space="preserve">of the BS. </w:t>
      </w:r>
      <w:r w:rsidR="00FD1D26">
        <w:rPr>
          <w:bCs/>
          <w:kern w:val="2"/>
          <w:szCs w:val="20"/>
        </w:rPr>
        <w:t>Then there could be two ways to aggregate the CSI-RS resources, i.e., aggregating the CSI-RS resource along the N</w:t>
      </w:r>
      <w:r w:rsidR="00FD1D26">
        <w:rPr>
          <w:bCs/>
          <w:kern w:val="2"/>
          <w:szCs w:val="20"/>
          <w:vertAlign w:val="subscript"/>
        </w:rPr>
        <w:t>1</w:t>
      </w:r>
      <w:r w:rsidR="00FD1D26">
        <w:rPr>
          <w:bCs/>
          <w:kern w:val="2"/>
          <w:szCs w:val="20"/>
        </w:rPr>
        <w:t xml:space="preserve"> direction or aggregating the CSI-RS resources along the N</w:t>
      </w:r>
      <w:r w:rsidR="00FD1D26">
        <w:rPr>
          <w:bCs/>
          <w:kern w:val="2"/>
          <w:szCs w:val="20"/>
          <w:vertAlign w:val="subscript"/>
        </w:rPr>
        <w:t xml:space="preserve">2 </w:t>
      </w:r>
      <w:r w:rsidR="00FD1D26">
        <w:rPr>
          <w:bCs/>
          <w:kern w:val="2"/>
          <w:szCs w:val="20"/>
        </w:rPr>
        <w:t>direction. To keep higher resolution of the beams along the horizontal direction (which is usually mapped to the N</w:t>
      </w:r>
      <w:r w:rsidR="00FD1D26">
        <w:rPr>
          <w:bCs/>
          <w:kern w:val="2"/>
          <w:szCs w:val="20"/>
          <w:vertAlign w:val="subscript"/>
        </w:rPr>
        <w:t>1</w:t>
      </w:r>
      <w:r w:rsidR="00FD1D26">
        <w:rPr>
          <w:bCs/>
          <w:kern w:val="2"/>
          <w:szCs w:val="20"/>
        </w:rPr>
        <w:t xml:space="preserve"> direction in implementation) for legacy UEs, these CSI-RS should be aggregated along the vertical direction (i.e., the N</w:t>
      </w:r>
      <w:r w:rsidR="00FD1D26">
        <w:rPr>
          <w:bCs/>
          <w:kern w:val="2"/>
          <w:szCs w:val="20"/>
          <w:vertAlign w:val="subscript"/>
        </w:rPr>
        <w:t>2</w:t>
      </w:r>
      <w:r w:rsidR="00FD1D26">
        <w:rPr>
          <w:bCs/>
          <w:kern w:val="2"/>
          <w:szCs w:val="20"/>
        </w:rPr>
        <w:t xml:space="preserve"> direction). For instance, assuming (N</w:t>
      </w:r>
      <w:r w:rsidR="00FD1D26">
        <w:rPr>
          <w:bCs/>
          <w:kern w:val="2"/>
          <w:szCs w:val="20"/>
          <w:vertAlign w:val="subscript"/>
        </w:rPr>
        <w:t>1</w:t>
      </w:r>
      <w:r w:rsidR="00FD1D26">
        <w:rPr>
          <w:bCs/>
          <w:kern w:val="2"/>
          <w:szCs w:val="20"/>
        </w:rPr>
        <w:t>, N</w:t>
      </w:r>
      <w:r w:rsidR="00FD1D26">
        <w:rPr>
          <w:bCs/>
          <w:kern w:val="2"/>
          <w:szCs w:val="20"/>
          <w:vertAlign w:val="subscript"/>
        </w:rPr>
        <w:t>2</w:t>
      </w:r>
      <w:r w:rsidR="00FD1D26">
        <w:rPr>
          <w:bCs/>
          <w:kern w:val="2"/>
          <w:szCs w:val="20"/>
        </w:rPr>
        <w:t>) = (8, 4), four CSI-RS resources with (N</w:t>
      </w:r>
      <w:r w:rsidR="00FD1D26">
        <w:rPr>
          <w:bCs/>
          <w:kern w:val="2"/>
          <w:szCs w:val="20"/>
          <w:vertAlign w:val="subscript"/>
        </w:rPr>
        <w:t>1</w:t>
      </w:r>
      <w:r w:rsidR="00FD1D26">
        <w:rPr>
          <w:bCs/>
          <w:kern w:val="2"/>
          <w:szCs w:val="20"/>
        </w:rPr>
        <w:t>’, N</w:t>
      </w:r>
      <w:r w:rsidR="00FD1D26">
        <w:rPr>
          <w:bCs/>
          <w:kern w:val="2"/>
          <w:szCs w:val="20"/>
          <w:vertAlign w:val="subscript"/>
        </w:rPr>
        <w:t>2</w:t>
      </w:r>
      <w:r w:rsidR="00FD1D26">
        <w:rPr>
          <w:bCs/>
          <w:kern w:val="2"/>
          <w:szCs w:val="20"/>
        </w:rPr>
        <w:t xml:space="preserve">’) = (8, 1) can be aggregated to </w:t>
      </w:r>
      <w:r w:rsidR="00C478C1">
        <w:rPr>
          <w:bCs/>
          <w:kern w:val="2"/>
          <w:szCs w:val="20"/>
        </w:rPr>
        <w:t>support</w:t>
      </w:r>
      <w:r w:rsidR="00FD1D26">
        <w:rPr>
          <w:bCs/>
          <w:kern w:val="2"/>
          <w:szCs w:val="20"/>
        </w:rPr>
        <w:t xml:space="preserve"> 64-port channel measurement.  </w:t>
      </w:r>
    </w:p>
    <w:p w:rsidR="009B70BD" w:rsidRDefault="0051047F">
      <w:pPr>
        <w:snapToGrid w:val="0"/>
        <w:spacing w:beforeLines="30" w:before="72" w:afterLines="30" w:after="72" w:line="300" w:lineRule="auto"/>
        <w:textAlignment w:val="center"/>
        <w:rPr>
          <w:bCs/>
          <w:i/>
        </w:rPr>
      </w:pPr>
      <w:r>
        <w:rPr>
          <w:b/>
          <w:i/>
        </w:rPr>
        <w:t xml:space="preserve">Proposal </w:t>
      </w:r>
      <w:r w:rsidR="00090DA3">
        <w:rPr>
          <w:b/>
          <w:i/>
        </w:rPr>
        <w:t>1</w:t>
      </w:r>
      <w:r>
        <w:rPr>
          <w:rFonts w:hint="eastAsia"/>
          <w:b/>
          <w:i/>
        </w:rPr>
        <w:t xml:space="preserve">: </w:t>
      </w:r>
      <w:r>
        <w:rPr>
          <w:rFonts w:hint="eastAsia"/>
          <w:bCs/>
          <w:i/>
        </w:rPr>
        <w:t xml:space="preserve">Regarding Rel-19 Type-I and Type-II codebook refinement, </w:t>
      </w:r>
      <w:r>
        <w:rPr>
          <w:bCs/>
          <w:i/>
        </w:rPr>
        <w:t>support the following port mapping scheme to facilitate the co-existence of Rel-19 and legacy UEs:</w:t>
      </w:r>
    </w:p>
    <w:p w:rsidR="009B70BD" w:rsidRDefault="0051047F">
      <w:pPr>
        <w:numPr>
          <w:ilvl w:val="0"/>
          <w:numId w:val="13"/>
        </w:numPr>
        <w:snapToGrid w:val="0"/>
        <w:spacing w:beforeLines="50" w:before="120" w:afterLines="50" w:after="120" w:line="300" w:lineRule="auto"/>
        <w:rPr>
          <w:bCs/>
          <w:kern w:val="2"/>
          <w:szCs w:val="20"/>
        </w:rPr>
      </w:pPr>
      <w:r>
        <w:rPr>
          <w:rFonts w:hAnsi="Cambria Math"/>
          <w:i/>
        </w:rPr>
        <w:t>For each of the K CMRs, half of antenna ports are mapped to the first polarization, the other half of antenna ports are mapped to the second polarization;</w:t>
      </w:r>
    </w:p>
    <w:p w:rsidR="009B70BD" w:rsidRDefault="0051047F">
      <w:pPr>
        <w:numPr>
          <w:ilvl w:val="0"/>
          <w:numId w:val="13"/>
        </w:numPr>
        <w:snapToGrid w:val="0"/>
        <w:spacing w:beforeLines="50" w:before="120" w:afterLines="50" w:after="120" w:line="300" w:lineRule="auto"/>
        <w:rPr>
          <w:bCs/>
          <w:kern w:val="2"/>
          <w:szCs w:val="20"/>
        </w:rPr>
      </w:pPr>
      <w:r>
        <w:rPr>
          <w:rFonts w:hAnsi="Cambria Math"/>
          <w:i/>
        </w:rPr>
        <w:t>The K CMRs are aggregated along the N</w:t>
      </w:r>
      <w:r>
        <w:rPr>
          <w:rFonts w:hAnsi="Cambria Math"/>
          <w:i/>
          <w:vertAlign w:val="subscript"/>
        </w:rPr>
        <w:t>2</w:t>
      </w:r>
      <w:r>
        <w:rPr>
          <w:rFonts w:hAnsi="Cambria Math"/>
          <w:i/>
        </w:rPr>
        <w:t xml:space="preserve"> direction.</w:t>
      </w:r>
    </w:p>
    <w:p w:rsidR="009B70BD" w:rsidRDefault="00A41899">
      <w:pPr>
        <w:tabs>
          <w:tab w:val="left" w:pos="420"/>
        </w:tabs>
        <w:snapToGrid w:val="0"/>
        <w:spacing w:beforeLines="50" w:before="120" w:afterLines="50" w:after="120" w:line="300" w:lineRule="auto"/>
        <w:rPr>
          <w:iCs/>
          <w:szCs w:val="20"/>
        </w:rPr>
      </w:pPr>
      <w:r>
        <w:rPr>
          <w:bCs/>
          <w:kern w:val="2"/>
          <w:szCs w:val="20"/>
        </w:rPr>
        <w:t>Recalling the</w:t>
      </w:r>
      <w:r w:rsidR="0051047F">
        <w:rPr>
          <w:bCs/>
          <w:kern w:val="2"/>
          <w:szCs w:val="20"/>
        </w:rPr>
        <w:t xml:space="preserve"> </w:t>
      </w:r>
      <w:r w:rsidR="0051047F">
        <w:rPr>
          <w:rFonts w:eastAsia="Batang"/>
          <w:iCs/>
          <w:szCs w:val="20"/>
          <w:lang w:val="en-GB" w:eastAsia="en-US"/>
        </w:rPr>
        <w:t>CMR restrictions</w:t>
      </w:r>
      <w:r w:rsidR="0051047F">
        <w:rPr>
          <w:iCs/>
          <w:szCs w:val="20"/>
        </w:rPr>
        <w:t xml:space="preserve"> in Rel-18</w:t>
      </w:r>
      <w:r w:rsidR="00CF16F5">
        <w:rPr>
          <w:iCs/>
          <w:szCs w:val="20"/>
        </w:rPr>
        <w:t xml:space="preserve"> CJT</w:t>
      </w:r>
      <w:r w:rsidR="0051047F">
        <w:rPr>
          <w:iCs/>
          <w:szCs w:val="20"/>
        </w:rPr>
        <w:t xml:space="preserve">, the </w:t>
      </w:r>
      <m:oMath>
        <m:r>
          <m:rPr>
            <m:sty m:val="p"/>
          </m:rPr>
          <w:rPr>
            <w:rFonts w:ascii="Cambria Math" w:hAnsi="Cambria Math"/>
            <w:szCs w:val="20"/>
          </w:rPr>
          <m:t>K</m:t>
        </m:r>
      </m:oMath>
      <w:r w:rsidR="0051047F">
        <w:rPr>
          <w:iCs/>
          <w:szCs w:val="20"/>
        </w:rPr>
        <w:t xml:space="preserve"> CSI-RS resources </w:t>
      </w:r>
      <w:r w:rsidR="00CF16F5">
        <w:rPr>
          <w:iCs/>
          <w:szCs w:val="20"/>
        </w:rPr>
        <w:t xml:space="preserve">should be </w:t>
      </w:r>
      <w:r w:rsidR="0051047F">
        <w:rPr>
          <w:iCs/>
          <w:szCs w:val="20"/>
        </w:rPr>
        <w:t xml:space="preserve">configured within </w:t>
      </w:r>
      <m:oMath>
        <m:r>
          <m:rPr>
            <m:sty m:val="p"/>
          </m:rPr>
          <w:rPr>
            <w:rFonts w:ascii="Cambria Math" w:hAnsi="Cambria Math" w:hint="eastAsia"/>
            <w:szCs w:val="20"/>
          </w:rPr>
          <m:t xml:space="preserve"> X</m:t>
        </m:r>
        <m:r>
          <m:rPr>
            <m:sty m:val="p"/>
          </m:rPr>
          <w:rPr>
            <w:rFonts w:ascii="Cambria Math" w:hAnsi="Cambria Math" w:hint="eastAsia"/>
            <w:szCs w:val="20"/>
          </w:rPr>
          <m:t>∈</m:t>
        </m:r>
        <m:r>
          <m:rPr>
            <m:sty m:val="p"/>
          </m:rPr>
          <w:rPr>
            <w:rFonts w:ascii="Cambria Math" w:hAnsi="Cambria Math" w:hint="eastAsia"/>
            <w:szCs w:val="20"/>
          </w:rPr>
          <m:t xml:space="preserve">{1,2} </m:t>
        </m:r>
      </m:oMath>
      <w:r w:rsidR="0051047F">
        <w:rPr>
          <w:iCs/>
          <w:szCs w:val="20"/>
        </w:rPr>
        <w:t xml:space="preserve"> slots, without DL/UL switching in between the two resources, where </w:t>
      </w:r>
      <m:oMath>
        <m:r>
          <m:rPr>
            <m:sty m:val="p"/>
          </m:rPr>
          <w:rPr>
            <w:rFonts w:ascii="Cambria Math" w:hAnsi="Cambria Math"/>
            <w:szCs w:val="20"/>
          </w:rPr>
          <m:t>X=1</m:t>
        </m:r>
      </m:oMath>
      <w:r w:rsidR="0051047F">
        <w:rPr>
          <w:iCs/>
          <w:szCs w:val="20"/>
        </w:rPr>
        <w:t xml:space="preserve"> implies that the </w:t>
      </w:r>
      <m:oMath>
        <m:r>
          <m:rPr>
            <m:sty m:val="p"/>
          </m:rPr>
          <w:rPr>
            <w:rFonts w:ascii="Cambria Math" w:hAnsi="Cambria Math"/>
            <w:szCs w:val="20"/>
          </w:rPr>
          <m:t>K</m:t>
        </m:r>
      </m:oMath>
      <w:r w:rsidR="0051047F">
        <w:rPr>
          <w:iCs/>
          <w:szCs w:val="20"/>
        </w:rPr>
        <w:t xml:space="preserve"> resources are configured </w:t>
      </w:r>
      <w:r w:rsidR="00CF16F5">
        <w:rPr>
          <w:iCs/>
          <w:szCs w:val="20"/>
        </w:rPr>
        <w:t>with</w:t>
      </w:r>
      <w:r w:rsidR="0051047F">
        <w:rPr>
          <w:iCs/>
          <w:szCs w:val="20"/>
        </w:rPr>
        <w:t xml:space="preserve">in </w:t>
      </w:r>
      <w:r w:rsidR="00CF16F5">
        <w:rPr>
          <w:iCs/>
          <w:szCs w:val="20"/>
        </w:rPr>
        <w:t>a</w:t>
      </w:r>
      <w:r w:rsidR="0051047F">
        <w:rPr>
          <w:iCs/>
          <w:szCs w:val="20"/>
        </w:rPr>
        <w:t xml:space="preserve"> same slot, and </w:t>
      </w:r>
      <m:oMath>
        <m:r>
          <m:rPr>
            <m:sty m:val="p"/>
          </m:rPr>
          <w:rPr>
            <w:rFonts w:ascii="Cambria Math" w:hAnsi="Cambria Math"/>
            <w:szCs w:val="20"/>
          </w:rPr>
          <m:t>X=2</m:t>
        </m:r>
      </m:oMath>
      <w:r w:rsidR="0051047F">
        <w:rPr>
          <w:iCs/>
          <w:szCs w:val="20"/>
        </w:rPr>
        <w:t xml:space="preserve"> implies that the </w:t>
      </w:r>
      <m:oMath>
        <m:r>
          <m:rPr>
            <m:sty m:val="p"/>
          </m:rPr>
          <w:rPr>
            <w:rFonts w:ascii="Cambria Math" w:hAnsi="Cambria Math"/>
            <w:szCs w:val="20"/>
          </w:rPr>
          <m:t>K</m:t>
        </m:r>
      </m:oMath>
      <w:r w:rsidR="0051047F">
        <w:rPr>
          <w:iCs/>
          <w:szCs w:val="20"/>
        </w:rPr>
        <w:t xml:space="preserve"> resources are configured within two </w:t>
      </w:r>
      <w:r w:rsidR="005B5125">
        <w:rPr>
          <w:iCs/>
          <w:szCs w:val="20"/>
        </w:rPr>
        <w:t xml:space="preserve">consecutive </w:t>
      </w:r>
      <w:r w:rsidR="0051047F">
        <w:rPr>
          <w:iCs/>
          <w:szCs w:val="20"/>
        </w:rPr>
        <w:t xml:space="preserve">slots. </w:t>
      </w:r>
      <w:r w:rsidR="0051047F">
        <w:rPr>
          <w:rFonts w:eastAsia="Batang"/>
          <w:szCs w:val="20"/>
          <w:lang w:val="en-GB" w:eastAsia="en-US"/>
        </w:rPr>
        <w:t xml:space="preserve">For the </w:t>
      </w:r>
      <w:r w:rsidR="0051047F">
        <w:rPr>
          <w:rFonts w:eastAsia="Batang"/>
          <w:iCs/>
          <w:szCs w:val="20"/>
          <w:lang w:val="en-GB" w:eastAsia="en-US"/>
        </w:rPr>
        <w:t>Rel-19 Type-I</w:t>
      </w:r>
      <w:r w:rsidR="00CF16F5">
        <w:rPr>
          <w:rFonts w:eastAsia="Batang"/>
          <w:iCs/>
          <w:szCs w:val="20"/>
          <w:lang w:val="en-GB" w:eastAsia="en-US"/>
        </w:rPr>
        <w:t>/</w:t>
      </w:r>
      <w:r w:rsidR="0051047F">
        <w:rPr>
          <w:rFonts w:eastAsia="Batang"/>
          <w:iCs/>
          <w:szCs w:val="20"/>
          <w:lang w:val="en-GB" w:eastAsia="en-US"/>
        </w:rPr>
        <w:t>Type-II codebook refinement for up to 128 CSI-RS ports</w:t>
      </w:r>
      <w:r w:rsidR="0051047F">
        <w:rPr>
          <w:iCs/>
          <w:szCs w:val="20"/>
        </w:rPr>
        <w:t>,</w:t>
      </w:r>
      <w:r w:rsidR="00CF16F5">
        <w:rPr>
          <w:iCs/>
          <w:szCs w:val="20"/>
        </w:rPr>
        <w:t xml:space="preserve"> to ensure the accuracy of channel measurement,</w:t>
      </w:r>
      <w:r w:rsidR="0051047F">
        <w:rPr>
          <w:iCs/>
          <w:szCs w:val="20"/>
        </w:rPr>
        <w:t xml:space="preserve"> t</w:t>
      </w:r>
      <w:r w:rsidR="0051047F">
        <w:rPr>
          <w:rFonts w:eastAsia="Batang"/>
          <w:iCs/>
          <w:szCs w:val="20"/>
          <w:lang w:val="en-GB" w:eastAsia="en-US"/>
        </w:rPr>
        <w:t xml:space="preserve">he </w:t>
      </w:r>
      <w:r w:rsidR="00CF16F5">
        <w:rPr>
          <w:iCs/>
          <w:szCs w:val="20"/>
        </w:rPr>
        <w:t>time separation</w:t>
      </w:r>
      <w:r w:rsidR="0051047F">
        <w:rPr>
          <w:iCs/>
          <w:szCs w:val="20"/>
        </w:rPr>
        <w:t xml:space="preserve"> </w:t>
      </w:r>
      <w:r w:rsidR="0051047F">
        <w:rPr>
          <w:rFonts w:eastAsia="Batang"/>
          <w:iCs/>
          <w:szCs w:val="20"/>
          <w:lang w:val="en-GB" w:eastAsia="en-US"/>
        </w:rPr>
        <w:t>restriction</w:t>
      </w:r>
      <w:r w:rsidR="00CF16F5">
        <w:rPr>
          <w:rFonts w:eastAsia="Batang"/>
          <w:iCs/>
          <w:szCs w:val="20"/>
          <w:lang w:val="en-GB" w:eastAsia="en-US"/>
        </w:rPr>
        <w:t xml:space="preserve"> for Rel-18 CJT CMRs</w:t>
      </w:r>
      <w:r w:rsidR="0051047F">
        <w:rPr>
          <w:rFonts w:eastAsia="Batang"/>
          <w:iCs/>
          <w:szCs w:val="20"/>
          <w:lang w:val="en-GB" w:eastAsia="en-US"/>
        </w:rPr>
        <w:t xml:space="preserve"> </w:t>
      </w:r>
      <w:r w:rsidR="0051047F">
        <w:rPr>
          <w:iCs/>
          <w:szCs w:val="20"/>
        </w:rPr>
        <w:t>can be</w:t>
      </w:r>
      <w:r w:rsidR="0051047F">
        <w:rPr>
          <w:rFonts w:eastAsia="Batang"/>
          <w:iCs/>
          <w:szCs w:val="20"/>
          <w:lang w:val="en-GB" w:eastAsia="en-US"/>
        </w:rPr>
        <w:t xml:space="preserve"> reused</w:t>
      </w:r>
      <w:r w:rsidR="0051047F">
        <w:rPr>
          <w:iCs/>
          <w:szCs w:val="20"/>
        </w:rPr>
        <w:t xml:space="preserve">. Considering </w:t>
      </w:r>
      <w:r w:rsidR="0051047F">
        <w:rPr>
          <w:rFonts w:eastAsia="Batang"/>
          <w:szCs w:val="20"/>
          <w:lang w:val="en-GB" w:eastAsia="en-US"/>
        </w:rPr>
        <w:t xml:space="preserve">the </w:t>
      </w:r>
      <w:r w:rsidR="0051047F">
        <w:rPr>
          <w:rFonts w:eastAsia="Batang"/>
          <w:iCs/>
          <w:szCs w:val="20"/>
          <w:lang w:val="en-GB" w:eastAsia="en-US"/>
        </w:rPr>
        <w:t>Rel-19 Type-I</w:t>
      </w:r>
      <w:r w:rsidR="00CF16F5">
        <w:rPr>
          <w:rFonts w:eastAsia="Batang"/>
          <w:iCs/>
          <w:szCs w:val="20"/>
          <w:lang w:val="en-GB" w:eastAsia="en-US"/>
        </w:rPr>
        <w:t>/</w:t>
      </w:r>
      <w:r w:rsidR="0051047F">
        <w:rPr>
          <w:rFonts w:eastAsia="Batang"/>
          <w:iCs/>
          <w:szCs w:val="20"/>
          <w:lang w:val="en-GB" w:eastAsia="en-US"/>
        </w:rPr>
        <w:t>Type-II codebook refinement</w:t>
      </w:r>
      <w:r w:rsidR="00CF16F5">
        <w:rPr>
          <w:rFonts w:eastAsia="Batang"/>
          <w:iCs/>
          <w:szCs w:val="20"/>
          <w:lang w:val="en-GB" w:eastAsia="en-US"/>
        </w:rPr>
        <w:t xml:space="preserve"> is</w:t>
      </w:r>
      <w:r w:rsidR="0051047F">
        <w:rPr>
          <w:iCs/>
          <w:szCs w:val="20"/>
        </w:rPr>
        <w:t xml:space="preserve"> under the </w:t>
      </w:r>
      <w:r w:rsidR="00CF16F5">
        <w:rPr>
          <w:iCs/>
          <w:szCs w:val="20"/>
        </w:rPr>
        <w:t xml:space="preserve">scenario </w:t>
      </w:r>
      <w:r w:rsidR="0051047F">
        <w:rPr>
          <w:iCs/>
          <w:szCs w:val="20"/>
        </w:rPr>
        <w:t>of single TRP, the</w:t>
      </w:r>
      <w:r w:rsidR="0051047F">
        <w:rPr>
          <w:rFonts w:eastAsia="Batang"/>
          <w:iCs/>
          <w:szCs w:val="20"/>
          <w:lang w:val="en-GB" w:eastAsia="en-US"/>
        </w:rPr>
        <w:t xml:space="preserve"> K CSI-RS resources</w:t>
      </w:r>
      <w:r w:rsidR="0051047F">
        <w:rPr>
          <w:iCs/>
          <w:szCs w:val="20"/>
        </w:rPr>
        <w:t xml:space="preserve"> for CMR should be </w:t>
      </w:r>
      <w:proofErr w:type="spellStart"/>
      <w:r w:rsidR="0051047F">
        <w:rPr>
          <w:bCs/>
          <w:kern w:val="2"/>
          <w:szCs w:val="20"/>
        </w:rPr>
        <w:t>QCLed</w:t>
      </w:r>
      <w:proofErr w:type="spellEnd"/>
      <w:r w:rsidR="0051047F">
        <w:rPr>
          <w:bCs/>
          <w:kern w:val="2"/>
          <w:szCs w:val="20"/>
        </w:rPr>
        <w:t xml:space="preserve"> and configured</w:t>
      </w:r>
      <w:r w:rsidR="0051047F">
        <w:rPr>
          <w:rFonts w:eastAsia="Batang"/>
          <w:iCs/>
          <w:szCs w:val="20"/>
          <w:lang w:val="en-GB" w:eastAsia="en-US"/>
        </w:rPr>
        <w:t xml:space="preserve"> with</w:t>
      </w:r>
      <w:r w:rsidR="0051047F">
        <w:rPr>
          <w:iCs/>
          <w:szCs w:val="20"/>
        </w:rPr>
        <w:t>in</w:t>
      </w:r>
      <w:r w:rsidR="0051047F">
        <w:rPr>
          <w:rFonts w:eastAsia="Batang"/>
          <w:iCs/>
          <w:szCs w:val="20"/>
          <w:lang w:val="en-GB" w:eastAsia="en-US"/>
        </w:rPr>
        <w:t xml:space="preserve"> a CSI-RS resource set</w:t>
      </w:r>
      <w:r w:rsidR="0051047F">
        <w:rPr>
          <w:iCs/>
          <w:szCs w:val="20"/>
        </w:rPr>
        <w:t xml:space="preserve">. In addition, one ZP/NZP IMR is </w:t>
      </w:r>
      <w:r w:rsidR="005B5125">
        <w:rPr>
          <w:iCs/>
          <w:szCs w:val="20"/>
        </w:rPr>
        <w:t xml:space="preserve">sufficient </w:t>
      </w:r>
      <w:r w:rsidR="00CF16F5">
        <w:rPr>
          <w:iCs/>
          <w:szCs w:val="20"/>
        </w:rPr>
        <w:t xml:space="preserve">for </w:t>
      </w:r>
      <w:r w:rsidR="00CF16F5">
        <w:rPr>
          <w:rFonts w:eastAsia="Batang"/>
          <w:iCs/>
          <w:szCs w:val="20"/>
          <w:lang w:val="en-GB" w:eastAsia="en-US"/>
        </w:rPr>
        <w:t>interference measurement</w:t>
      </w:r>
      <w:r w:rsidR="0051047F">
        <w:rPr>
          <w:iCs/>
          <w:szCs w:val="20"/>
        </w:rPr>
        <w:t xml:space="preserve">. </w:t>
      </w:r>
      <w:r w:rsidR="00CF16F5">
        <w:rPr>
          <w:iCs/>
          <w:szCs w:val="20"/>
        </w:rPr>
        <w:t>I</w:t>
      </w:r>
      <w:r w:rsidR="0051047F">
        <w:t xml:space="preserve">f interference measurement is performed </w:t>
      </w:r>
      <w:r w:rsidR="005B5125">
        <w:t xml:space="preserve">based </w:t>
      </w:r>
      <w:r w:rsidR="0051047F">
        <w:t xml:space="preserve">on CSI-IM, only one resource is configured in the corresponding </w:t>
      </w:r>
      <w:proofErr w:type="spellStart"/>
      <w:r w:rsidR="0051047F">
        <w:rPr>
          <w:i/>
        </w:rPr>
        <w:t>csi</w:t>
      </w:r>
      <w:proofErr w:type="spellEnd"/>
      <w:r w:rsidR="0051047F">
        <w:rPr>
          <w:i/>
        </w:rPr>
        <w:t>-IM-</w:t>
      </w:r>
      <w:proofErr w:type="spellStart"/>
      <w:r w:rsidR="0051047F">
        <w:rPr>
          <w:i/>
        </w:rPr>
        <w:t>ResourceSet</w:t>
      </w:r>
      <w:proofErr w:type="spellEnd"/>
      <w:r w:rsidR="0051047F">
        <w:rPr>
          <w:iCs/>
        </w:rPr>
        <w:t xml:space="preserve">. </w:t>
      </w:r>
      <w:r w:rsidR="0051047F">
        <w:rPr>
          <w:iCs/>
        </w:rPr>
        <w:lastRenderedPageBreak/>
        <w:t xml:space="preserve">If interference measurement is performed </w:t>
      </w:r>
      <w:r w:rsidR="005B5125">
        <w:rPr>
          <w:iCs/>
        </w:rPr>
        <w:t xml:space="preserve">based </w:t>
      </w:r>
      <w:r w:rsidR="0051047F">
        <w:rPr>
          <w:iCs/>
        </w:rPr>
        <w:t xml:space="preserve">on NZP CSI-RS, only one resource is configured in the corresponding </w:t>
      </w:r>
      <w:r w:rsidR="0051047F">
        <w:rPr>
          <w:i/>
        </w:rPr>
        <w:t>NZP-CSI-RS-</w:t>
      </w:r>
      <w:proofErr w:type="spellStart"/>
      <w:r w:rsidR="0051047F">
        <w:rPr>
          <w:i/>
        </w:rPr>
        <w:t>ResourceSet</w:t>
      </w:r>
      <w:proofErr w:type="spellEnd"/>
      <w:r w:rsidR="0051047F">
        <w:rPr>
          <w:iCs/>
        </w:rPr>
        <w:t xml:space="preserve"> for interference measurement.</w:t>
      </w:r>
    </w:p>
    <w:p w:rsidR="009B70BD" w:rsidRDefault="0051047F">
      <w:pPr>
        <w:tabs>
          <w:tab w:val="left" w:pos="420"/>
        </w:tabs>
        <w:snapToGrid w:val="0"/>
        <w:spacing w:beforeLines="50" w:before="120" w:afterLines="50" w:after="120" w:line="300" w:lineRule="auto"/>
        <w:rPr>
          <w:iCs/>
          <w:szCs w:val="20"/>
        </w:rPr>
      </w:pPr>
      <w:r>
        <w:rPr>
          <w:iCs/>
          <w:szCs w:val="20"/>
        </w:rPr>
        <w:t>However, regarding CRIs-based CSI reporting for hybrid beamforming for up to 128 CSI-RS ports, the QCL</w:t>
      </w:r>
      <w:r w:rsidR="004E2ABC">
        <w:rPr>
          <w:iCs/>
          <w:szCs w:val="20"/>
        </w:rPr>
        <w:t xml:space="preserve"> </w:t>
      </w:r>
      <w:r w:rsidR="00684B66">
        <w:rPr>
          <w:iCs/>
          <w:szCs w:val="20"/>
        </w:rPr>
        <w:t>information</w:t>
      </w:r>
      <w:r>
        <w:rPr>
          <w:iCs/>
          <w:szCs w:val="20"/>
        </w:rPr>
        <w:t xml:space="preserve"> may be </w:t>
      </w:r>
      <w:r w:rsidR="00CF16F5">
        <w:rPr>
          <w:iCs/>
          <w:szCs w:val="20"/>
        </w:rPr>
        <w:t xml:space="preserve">distinct </w:t>
      </w:r>
      <w:r>
        <w:rPr>
          <w:iCs/>
          <w:szCs w:val="20"/>
        </w:rPr>
        <w:t xml:space="preserve">for different CSI-RS resource. For </w:t>
      </w:r>
      <w:r>
        <w:rPr>
          <w:rFonts w:eastAsia="Batang"/>
          <w:iCs/>
          <w:szCs w:val="20"/>
          <w:lang w:val="en-GB" w:eastAsia="en-US"/>
        </w:rPr>
        <w:t>interference measurement</w:t>
      </w:r>
      <w:r>
        <w:rPr>
          <w:iCs/>
          <w:szCs w:val="20"/>
        </w:rPr>
        <w:t xml:space="preserve">, one or more ZP/NZP IMRs can be configured for CRIs-based CSI reporting, such as one-by-one mapping ZP/NZP IMR </w:t>
      </w:r>
      <w:r w:rsidR="00CF16F5">
        <w:rPr>
          <w:iCs/>
          <w:szCs w:val="20"/>
        </w:rPr>
        <w:t>configuration</w:t>
      </w:r>
      <w:r>
        <w:rPr>
          <w:iCs/>
          <w:szCs w:val="20"/>
        </w:rPr>
        <w:t>.</w:t>
      </w:r>
    </w:p>
    <w:p w:rsidR="009B70BD" w:rsidRDefault="0051047F">
      <w:pPr>
        <w:tabs>
          <w:tab w:val="left" w:pos="420"/>
        </w:tabs>
        <w:snapToGrid w:val="0"/>
        <w:spacing w:beforeLines="50" w:before="120" w:afterLines="50" w:after="120" w:line="300" w:lineRule="auto"/>
        <w:rPr>
          <w:bCs/>
          <w:i/>
          <w:iCs/>
        </w:rPr>
      </w:pPr>
      <w:r>
        <w:rPr>
          <w:rFonts w:hint="eastAsia"/>
          <w:b/>
          <w:i/>
          <w:iCs/>
          <w:kern w:val="2"/>
          <w:szCs w:val="20"/>
        </w:rPr>
        <w:t xml:space="preserve">Proposal </w:t>
      </w:r>
      <w:r w:rsidR="00CF16F5">
        <w:rPr>
          <w:b/>
          <w:i/>
          <w:iCs/>
          <w:kern w:val="2"/>
          <w:szCs w:val="20"/>
        </w:rPr>
        <w:t>2</w:t>
      </w:r>
      <w:r>
        <w:rPr>
          <w:rFonts w:hint="eastAsia"/>
          <w:b/>
          <w:i/>
          <w:iCs/>
          <w:kern w:val="2"/>
          <w:szCs w:val="20"/>
        </w:rPr>
        <w:t>:</w:t>
      </w:r>
      <w:r>
        <w:rPr>
          <w:rFonts w:hint="eastAsia"/>
          <w:bCs/>
          <w:i/>
          <w:iCs/>
          <w:kern w:val="2"/>
          <w:szCs w:val="20"/>
        </w:rPr>
        <w:t xml:space="preserve"> </w:t>
      </w:r>
      <w:r>
        <w:rPr>
          <w:rFonts w:hint="eastAsia"/>
          <w:bCs/>
          <w:i/>
          <w:iCs/>
        </w:rPr>
        <w:t>Regarding Rel-19 Type-I and Type-II codebook refinement, support the following CMR/IMR restrictions:</w:t>
      </w:r>
    </w:p>
    <w:p w:rsidR="009B70BD" w:rsidRDefault="0051047F">
      <w:pPr>
        <w:numPr>
          <w:ilvl w:val="0"/>
          <w:numId w:val="13"/>
        </w:numPr>
        <w:snapToGrid w:val="0"/>
        <w:spacing w:beforeLines="50" w:before="120" w:afterLines="50" w:after="120" w:line="300" w:lineRule="auto"/>
        <w:rPr>
          <w:rFonts w:hAnsi="Cambria Math"/>
          <w:i/>
          <w:iCs/>
          <w:lang w:val="en-GB" w:eastAsia="en-US"/>
        </w:rPr>
      </w:pPr>
      <w:r>
        <w:rPr>
          <w:rFonts w:hAnsi="Cambria Math" w:hint="eastAsia"/>
          <w:i/>
          <w:iCs/>
          <w:lang w:val="en-GB"/>
        </w:rPr>
        <w:t>T</w:t>
      </w:r>
      <w:r>
        <w:rPr>
          <w:rFonts w:hAnsi="Cambria Math"/>
          <w:i/>
          <w:iCs/>
          <w:lang w:val="en-GB"/>
        </w:rPr>
        <w:t>he K CMRs should be allocated within two consecutive slots.</w:t>
      </w:r>
    </w:p>
    <w:p w:rsidR="009B70BD" w:rsidRDefault="0051047F">
      <w:pPr>
        <w:numPr>
          <w:ilvl w:val="0"/>
          <w:numId w:val="13"/>
        </w:numPr>
        <w:snapToGrid w:val="0"/>
        <w:spacing w:beforeLines="50" w:before="120" w:afterLines="50" w:after="120" w:line="300" w:lineRule="auto"/>
        <w:rPr>
          <w:rFonts w:hAnsi="Cambria Math"/>
          <w:i/>
          <w:iCs/>
          <w:lang w:val="en-GB" w:eastAsia="en-US"/>
        </w:rPr>
      </w:pPr>
      <w:r>
        <w:rPr>
          <w:rFonts w:hAnsi="Cambria Math" w:hint="eastAsia"/>
          <w:i/>
          <w:iCs/>
        </w:rPr>
        <w:t>The</w:t>
      </w:r>
      <w:r>
        <w:rPr>
          <w:rFonts w:hAnsi="Cambria Math" w:hint="eastAsia"/>
          <w:i/>
          <w:iCs/>
          <w:lang w:val="en-GB" w:eastAsia="en-US"/>
        </w:rPr>
        <w:t xml:space="preserve"> K </w:t>
      </w:r>
      <w:r>
        <w:rPr>
          <w:rFonts w:hAnsi="Cambria Math" w:hint="eastAsia"/>
          <w:i/>
          <w:iCs/>
        </w:rPr>
        <w:t>CMR</w:t>
      </w:r>
      <w:r>
        <w:rPr>
          <w:rFonts w:hAnsi="Cambria Math"/>
          <w:i/>
          <w:iCs/>
        </w:rPr>
        <w:t>s</w:t>
      </w:r>
      <w:r>
        <w:rPr>
          <w:rFonts w:hAnsi="Cambria Math" w:hint="eastAsia"/>
          <w:i/>
          <w:iCs/>
        </w:rPr>
        <w:t xml:space="preserve"> should be </w:t>
      </w:r>
      <w:proofErr w:type="spellStart"/>
      <w:r>
        <w:rPr>
          <w:rFonts w:hAnsi="Cambria Math" w:hint="eastAsia"/>
          <w:i/>
          <w:iCs/>
        </w:rPr>
        <w:t>QCLed</w:t>
      </w:r>
      <w:proofErr w:type="spellEnd"/>
      <w:r>
        <w:rPr>
          <w:rFonts w:hAnsi="Cambria Math" w:hint="eastAsia"/>
          <w:i/>
          <w:iCs/>
        </w:rPr>
        <w:t xml:space="preserve"> and configured</w:t>
      </w:r>
      <w:r>
        <w:rPr>
          <w:rFonts w:hAnsi="Cambria Math" w:hint="eastAsia"/>
          <w:i/>
          <w:iCs/>
          <w:lang w:val="en-GB" w:eastAsia="en-US"/>
        </w:rPr>
        <w:t xml:space="preserve"> with</w:t>
      </w:r>
      <w:r>
        <w:rPr>
          <w:rFonts w:hAnsi="Cambria Math" w:hint="eastAsia"/>
          <w:i/>
          <w:iCs/>
        </w:rPr>
        <w:t>in</w:t>
      </w:r>
      <w:r>
        <w:rPr>
          <w:rFonts w:hAnsi="Cambria Math" w:hint="eastAsia"/>
          <w:i/>
          <w:iCs/>
          <w:lang w:val="en-GB" w:eastAsia="en-US"/>
        </w:rPr>
        <w:t xml:space="preserve"> a CSI-RS resource set</w:t>
      </w:r>
      <w:r>
        <w:rPr>
          <w:rFonts w:hAnsi="Cambria Math"/>
          <w:i/>
          <w:iCs/>
          <w:lang w:val="en-GB" w:eastAsia="en-US"/>
        </w:rPr>
        <w:t>;</w:t>
      </w:r>
    </w:p>
    <w:p w:rsidR="009B70BD" w:rsidRDefault="0051047F">
      <w:pPr>
        <w:numPr>
          <w:ilvl w:val="0"/>
          <w:numId w:val="13"/>
        </w:numPr>
        <w:snapToGrid w:val="0"/>
        <w:spacing w:beforeLines="50" w:before="120" w:afterLines="50" w:after="120" w:line="300" w:lineRule="auto"/>
        <w:rPr>
          <w:rFonts w:hAnsi="Cambria Math"/>
          <w:i/>
          <w:iCs/>
        </w:rPr>
      </w:pPr>
      <w:r>
        <w:rPr>
          <w:rFonts w:hAnsi="Cambria Math" w:hint="eastAsia"/>
          <w:i/>
          <w:iCs/>
        </w:rPr>
        <w:t>Only one ZP</w:t>
      </w:r>
      <w:r>
        <w:rPr>
          <w:rFonts w:hAnsi="Cambria Math"/>
          <w:i/>
          <w:iCs/>
        </w:rPr>
        <w:t>/NZP</w:t>
      </w:r>
      <w:r>
        <w:rPr>
          <w:rFonts w:hAnsi="Cambria Math" w:hint="eastAsia"/>
          <w:i/>
          <w:iCs/>
        </w:rPr>
        <w:t xml:space="preserve"> IMR</w:t>
      </w:r>
      <w:r>
        <w:rPr>
          <w:rFonts w:hAnsi="Cambria Math"/>
          <w:i/>
          <w:iCs/>
        </w:rPr>
        <w:t xml:space="preserve"> is configured.</w:t>
      </w:r>
    </w:p>
    <w:p w:rsidR="009B70BD" w:rsidRDefault="0051047F">
      <w:pPr>
        <w:tabs>
          <w:tab w:val="left" w:pos="420"/>
        </w:tabs>
        <w:snapToGrid w:val="0"/>
        <w:spacing w:beforeLines="50" w:before="120" w:afterLines="50" w:after="120" w:line="300" w:lineRule="auto"/>
        <w:rPr>
          <w:bCs/>
          <w:i/>
          <w:iCs/>
        </w:rPr>
      </w:pPr>
      <w:r>
        <w:rPr>
          <w:rFonts w:hint="eastAsia"/>
          <w:b/>
          <w:i/>
          <w:iCs/>
          <w:kern w:val="2"/>
          <w:szCs w:val="20"/>
        </w:rPr>
        <w:t xml:space="preserve">Proposal </w:t>
      </w:r>
      <w:r w:rsidR="00CF16F5">
        <w:rPr>
          <w:b/>
          <w:i/>
          <w:iCs/>
          <w:kern w:val="2"/>
          <w:szCs w:val="20"/>
        </w:rPr>
        <w:t>3</w:t>
      </w:r>
      <w:r>
        <w:rPr>
          <w:rFonts w:hint="eastAsia"/>
          <w:b/>
          <w:i/>
          <w:iCs/>
          <w:kern w:val="2"/>
          <w:szCs w:val="20"/>
        </w:rPr>
        <w:t>:</w:t>
      </w:r>
      <w:r>
        <w:rPr>
          <w:rFonts w:hint="eastAsia"/>
          <w:bCs/>
          <w:i/>
          <w:iCs/>
          <w:kern w:val="2"/>
          <w:szCs w:val="20"/>
        </w:rPr>
        <w:t xml:space="preserve"> </w:t>
      </w:r>
      <w:r>
        <w:rPr>
          <w:rFonts w:hint="eastAsia"/>
          <w:i/>
          <w:iCs/>
        </w:rPr>
        <w:t>Regarding Rel-19 CRIs-based CSI reporting</w:t>
      </w:r>
      <w:r>
        <w:rPr>
          <w:rFonts w:hint="eastAsia"/>
          <w:bCs/>
          <w:i/>
          <w:iCs/>
        </w:rPr>
        <w:t>, support the following CMR/IMR restrictions:</w:t>
      </w:r>
    </w:p>
    <w:p w:rsidR="009B70BD" w:rsidRDefault="0051047F">
      <w:pPr>
        <w:numPr>
          <w:ilvl w:val="0"/>
          <w:numId w:val="13"/>
        </w:numPr>
        <w:snapToGrid w:val="0"/>
        <w:spacing w:beforeLines="50" w:before="120" w:afterLines="50" w:after="120" w:line="300" w:lineRule="auto"/>
        <w:rPr>
          <w:rFonts w:hAnsi="Cambria Math"/>
          <w:i/>
          <w:iCs/>
          <w:lang w:val="en-GB" w:eastAsia="en-US"/>
        </w:rPr>
      </w:pPr>
      <w:r>
        <w:rPr>
          <w:rFonts w:hAnsi="Cambria Math" w:hint="eastAsia"/>
          <w:i/>
          <w:iCs/>
        </w:rPr>
        <w:t>The</w:t>
      </w:r>
      <w:r>
        <w:rPr>
          <w:rFonts w:hAnsi="Cambria Math" w:hint="eastAsia"/>
          <w:i/>
          <w:iCs/>
          <w:lang w:val="en-GB" w:eastAsia="en-US"/>
        </w:rPr>
        <w:t xml:space="preserve"> K </w:t>
      </w:r>
      <w:r>
        <w:rPr>
          <w:rFonts w:hAnsi="Cambria Math" w:hint="eastAsia"/>
          <w:i/>
          <w:iCs/>
        </w:rPr>
        <w:t>CMR</w:t>
      </w:r>
      <w:r>
        <w:rPr>
          <w:rFonts w:hAnsi="Cambria Math"/>
          <w:i/>
          <w:iCs/>
        </w:rPr>
        <w:t>s</w:t>
      </w:r>
      <w:r>
        <w:rPr>
          <w:rFonts w:hAnsi="Cambria Math" w:hint="eastAsia"/>
          <w:i/>
          <w:iCs/>
        </w:rPr>
        <w:t xml:space="preserve"> should be configured</w:t>
      </w:r>
      <w:r>
        <w:rPr>
          <w:rFonts w:hAnsi="Cambria Math" w:hint="eastAsia"/>
          <w:i/>
          <w:iCs/>
          <w:lang w:val="en-GB" w:eastAsia="en-US"/>
        </w:rPr>
        <w:t xml:space="preserve"> with</w:t>
      </w:r>
      <w:r>
        <w:rPr>
          <w:rFonts w:hAnsi="Cambria Math" w:hint="eastAsia"/>
          <w:i/>
          <w:iCs/>
        </w:rPr>
        <w:t>in</w:t>
      </w:r>
      <w:r>
        <w:rPr>
          <w:rFonts w:hAnsi="Cambria Math" w:hint="eastAsia"/>
          <w:i/>
          <w:iCs/>
          <w:lang w:val="en-GB" w:eastAsia="en-US"/>
        </w:rPr>
        <w:t xml:space="preserve"> a CSI-RS resource set</w:t>
      </w:r>
      <w:r>
        <w:rPr>
          <w:rFonts w:hAnsi="Cambria Math"/>
          <w:i/>
          <w:iCs/>
          <w:lang w:val="en-GB" w:eastAsia="en-US"/>
        </w:rPr>
        <w:t>;</w:t>
      </w:r>
    </w:p>
    <w:p w:rsidR="009B70BD" w:rsidRDefault="0051047F">
      <w:pPr>
        <w:numPr>
          <w:ilvl w:val="0"/>
          <w:numId w:val="13"/>
        </w:numPr>
        <w:snapToGrid w:val="0"/>
        <w:spacing w:beforeLines="50" w:before="120" w:afterLines="50" w:after="120" w:line="300" w:lineRule="auto"/>
        <w:rPr>
          <w:rFonts w:hAnsi="Cambria Math"/>
          <w:i/>
          <w:iCs/>
        </w:rPr>
      </w:pPr>
      <w:r>
        <w:rPr>
          <w:rFonts w:hAnsi="Cambria Math" w:hint="eastAsia"/>
          <w:i/>
          <w:iCs/>
        </w:rPr>
        <w:t>One or more ZP/NZP IMR is configured</w:t>
      </w:r>
      <w:r>
        <w:rPr>
          <w:rFonts w:hAnsi="Cambria Math"/>
          <w:i/>
          <w:iCs/>
        </w:rPr>
        <w:t>.</w:t>
      </w:r>
    </w:p>
    <w:p w:rsidR="009B70BD" w:rsidRDefault="00CC3219">
      <w:pPr>
        <w:tabs>
          <w:tab w:val="left" w:pos="420"/>
        </w:tabs>
        <w:snapToGrid w:val="0"/>
        <w:spacing w:beforeLines="50" w:before="120" w:afterLines="50" w:after="120" w:line="300" w:lineRule="auto"/>
        <w:rPr>
          <w:bCs/>
          <w:kern w:val="2"/>
          <w:szCs w:val="20"/>
        </w:rPr>
      </w:pPr>
      <w:r>
        <w:rPr>
          <w:bCs/>
          <w:kern w:val="2"/>
          <w:szCs w:val="20"/>
        </w:rPr>
        <w:t>For</w:t>
      </w:r>
      <w:r w:rsidR="0051047F">
        <w:rPr>
          <w:bCs/>
          <w:kern w:val="2"/>
          <w:szCs w:val="20"/>
        </w:rPr>
        <w:t xml:space="preserve"> </w:t>
      </w:r>
      <w:r w:rsidR="0051047F">
        <w:rPr>
          <w:rFonts w:eastAsia="Batang"/>
          <w:szCs w:val="20"/>
          <w:lang w:val="en-GB" w:eastAsia="en-US"/>
        </w:rPr>
        <w:t>Rel-18 Type-II Doppler codebook</w:t>
      </w:r>
      <w:r w:rsidR="0051047F">
        <w:rPr>
          <w:bCs/>
          <w:kern w:val="2"/>
          <w:szCs w:val="20"/>
        </w:rPr>
        <w:t xml:space="preserve">, the UE can </w:t>
      </w:r>
      <w:r w:rsidR="0051047F">
        <w:rPr>
          <w:color w:val="000000"/>
        </w:rPr>
        <w:t xml:space="preserve">be configured with </w:t>
      </w:r>
      <m:oMath>
        <m:r>
          <w:rPr>
            <w:rFonts w:ascii="Cambria Math" w:hAnsi="Cambria Math" w:hint="eastAsia"/>
            <w:color w:val="000000"/>
          </w:rPr>
          <m:t>K</m:t>
        </m:r>
        <m:r>
          <w:rPr>
            <w:rFonts w:ascii="Cambria Math" w:hAnsi="Cambria Math" w:hint="eastAsia"/>
            <w:color w:val="000000"/>
          </w:rPr>
          <m:t>∈</m:t>
        </m:r>
        <m:r>
          <w:rPr>
            <w:rFonts w:ascii="Cambria Math" w:hAnsi="Cambria Math" w:hint="eastAsia"/>
            <w:color w:val="000000"/>
          </w:rPr>
          <m:t>{4,8,12}</m:t>
        </m:r>
      </m:oMath>
      <w:r w:rsidR="0051047F">
        <w:rPr>
          <w:color w:val="000000"/>
        </w:rPr>
        <w:t xml:space="preserve"> aperiodic CSI-RS resources in the resource set for channel measurement. The </w:t>
      </w:r>
      <m:oMath>
        <m:r>
          <w:rPr>
            <w:rFonts w:ascii="Cambria Math" w:hAnsi="Cambria Math"/>
            <w:color w:val="000000"/>
          </w:rPr>
          <m:t>K</m:t>
        </m:r>
      </m:oMath>
      <w:r w:rsidR="0051047F">
        <w:rPr>
          <w:color w:val="000000"/>
        </w:rPr>
        <w:t xml:space="preserve"> CSI-RS resources are triggered by the same triggering instance and the separation between two consecutive CSI-RS resources is </w:t>
      </w:r>
      <m:oMath>
        <m:r>
          <w:rPr>
            <w:rFonts w:ascii="Cambria Math" w:hAnsi="Cambria Math" w:hint="eastAsia"/>
            <w:color w:val="000000"/>
          </w:rPr>
          <m:t>m</m:t>
        </m:r>
        <m:r>
          <w:rPr>
            <w:rFonts w:ascii="Cambria Math" w:hAnsi="Cambria Math" w:hint="eastAsia"/>
            <w:color w:val="000000"/>
          </w:rPr>
          <m:t>∈</m:t>
        </m:r>
        <m:r>
          <w:rPr>
            <w:rFonts w:ascii="Cambria Math" w:hAnsi="Cambria Math" w:hint="eastAsia"/>
            <w:color w:val="000000"/>
          </w:rPr>
          <m:t>{1,2}</m:t>
        </m:r>
      </m:oMath>
      <w:r w:rsidR="0051047F">
        <w:rPr>
          <w:color w:val="000000"/>
        </w:rPr>
        <w:t xml:space="preserve"> slots, which is configured by higher layer parameter in the </w:t>
      </w:r>
      <w:r w:rsidR="0051047F">
        <w:rPr>
          <w:i/>
          <w:iCs/>
          <w:color w:val="000000"/>
        </w:rPr>
        <w:t>NZP-CSI-RS-</w:t>
      </w:r>
      <w:proofErr w:type="spellStart"/>
      <w:r w:rsidR="0051047F">
        <w:rPr>
          <w:i/>
          <w:iCs/>
          <w:color w:val="000000"/>
        </w:rPr>
        <w:t>ResourceSet</w:t>
      </w:r>
      <w:proofErr w:type="spellEnd"/>
      <w:r w:rsidR="0051047F">
        <w:rPr>
          <w:color w:val="000000"/>
        </w:rPr>
        <w:t xml:space="preserve">. The </w:t>
      </w:r>
      <w:r w:rsidR="0051047F">
        <w:rPr>
          <w:i/>
          <w:iCs/>
          <w:color w:val="000000"/>
        </w:rPr>
        <w:t>K</w:t>
      </w:r>
      <w:r w:rsidR="0051047F">
        <w:rPr>
          <w:color w:val="000000"/>
        </w:rPr>
        <w:t xml:space="preserve"> aperiodic CSI-RS resources are transmitted following the order of the CSI-RS resource IDs configured in the CSI-RS resource set. However, </w:t>
      </w:r>
      <w:r w:rsidR="00982CC4">
        <w:rPr>
          <w:rFonts w:eastAsia="Batang"/>
          <w:szCs w:val="20"/>
          <w:lang w:val="en-GB" w:eastAsia="en-US"/>
        </w:rPr>
        <w:t xml:space="preserve">as the number of antenna ports is increased up to 128, multiple legacy CSI-RS resources need to be aggregated for </w:t>
      </w:r>
      <w:r w:rsidR="000A0E8E">
        <w:rPr>
          <w:rFonts w:eastAsia="Batang"/>
          <w:szCs w:val="20"/>
          <w:lang w:val="en-GB" w:eastAsia="en-US"/>
        </w:rPr>
        <w:t>each</w:t>
      </w:r>
      <w:r w:rsidR="00982CC4">
        <w:rPr>
          <w:rFonts w:eastAsia="Batang"/>
          <w:szCs w:val="20"/>
          <w:lang w:val="en-GB" w:eastAsia="en-US"/>
        </w:rPr>
        <w:t xml:space="preserve"> transmission occasion</w:t>
      </w:r>
      <w:r w:rsidR="0051047F">
        <w:rPr>
          <w:color w:val="000000"/>
        </w:rPr>
        <w:t xml:space="preserve">. </w:t>
      </w:r>
      <w:r w:rsidR="000A0E8E">
        <w:rPr>
          <w:color w:val="000000"/>
        </w:rPr>
        <w:t>Then t</w:t>
      </w:r>
      <w:r w:rsidR="0051047F">
        <w:rPr>
          <w:color w:val="000000"/>
        </w:rPr>
        <w:t xml:space="preserve">he CSI resource set should contain </w:t>
      </w:r>
      <m:oMath>
        <m:r>
          <w:rPr>
            <w:rFonts w:ascii="Cambria Math" w:hAnsi="Cambria Math" w:hint="eastAsia"/>
            <w:color w:val="000000"/>
          </w:rPr>
          <m:t>K</m:t>
        </m:r>
        <m:r>
          <w:rPr>
            <w:rFonts w:ascii="Cambria Math" w:hAnsi="Cambria Math" w:hint="eastAsia"/>
            <w:color w:val="000000"/>
          </w:rPr>
          <m:t>∈</m:t>
        </m:r>
        <m:r>
          <w:rPr>
            <w:rFonts w:ascii="Cambria Math" w:hAnsi="Cambria Math" w:hint="eastAsia"/>
            <w:color w:val="000000"/>
          </w:rPr>
          <m:t>{4,8,12}</m:t>
        </m:r>
      </m:oMath>
      <w:r w:rsidR="0051047F">
        <w:rPr>
          <w:color w:val="000000"/>
        </w:rPr>
        <w:t xml:space="preserve"> CSI-RS resource groups and each </w:t>
      </w:r>
      <w:r w:rsidR="0051047F">
        <w:rPr>
          <w:bCs/>
          <w:kern w:val="2"/>
          <w:szCs w:val="20"/>
        </w:rPr>
        <w:t xml:space="preserve">group </w:t>
      </w:r>
      <w:r w:rsidR="000A0E8E">
        <w:rPr>
          <w:bCs/>
          <w:kern w:val="2"/>
          <w:szCs w:val="20"/>
        </w:rPr>
        <w:t xml:space="preserve">should contain </w:t>
      </w:r>
      <w:r w:rsidR="0051047F">
        <w:rPr>
          <w:iCs/>
          <w:szCs w:val="20"/>
        </w:rPr>
        <w:t>multiple</w:t>
      </w:r>
      <w:r w:rsidR="000A0E8E">
        <w:rPr>
          <w:iCs/>
          <w:szCs w:val="20"/>
        </w:rPr>
        <w:t xml:space="preserve"> aggregated</w:t>
      </w:r>
      <w:r w:rsidR="0051047F">
        <w:rPr>
          <w:iCs/>
          <w:szCs w:val="20"/>
        </w:rPr>
        <w:t xml:space="preserve"> </w:t>
      </w:r>
      <w:r w:rsidR="0051047F">
        <w:rPr>
          <w:color w:val="000000"/>
        </w:rPr>
        <w:t>CSI-RS resources</w:t>
      </w:r>
      <w:r w:rsidR="0051047F">
        <w:rPr>
          <w:iCs/>
          <w:szCs w:val="20"/>
        </w:rPr>
        <w:t xml:space="preserve">. </w:t>
      </w:r>
      <w:r w:rsidR="0051047F">
        <w:rPr>
          <w:bCs/>
          <w:kern w:val="2"/>
          <w:szCs w:val="20"/>
        </w:rPr>
        <w:t xml:space="preserve">The time separation between the first CSI-RS resources of two consecutive groups is </w:t>
      </w:r>
      <m:oMath>
        <m:r>
          <w:rPr>
            <w:rFonts w:ascii="Cambria Math" w:hAnsi="Cambria Math" w:hint="eastAsia"/>
            <w:color w:val="000000"/>
          </w:rPr>
          <m:t>m</m:t>
        </m:r>
        <m:r>
          <w:rPr>
            <w:rFonts w:ascii="Cambria Math" w:hAnsi="Cambria Math" w:hint="eastAsia"/>
            <w:color w:val="000000"/>
          </w:rPr>
          <m:t>∈</m:t>
        </m:r>
        <m:r>
          <w:rPr>
            <w:rFonts w:ascii="Cambria Math" w:hAnsi="Cambria Math" w:hint="eastAsia"/>
            <w:color w:val="000000"/>
          </w:rPr>
          <m:t>{1,2}</m:t>
        </m:r>
      </m:oMath>
      <w:r w:rsidR="0051047F">
        <w:rPr>
          <w:color w:val="000000"/>
        </w:rPr>
        <w:t xml:space="preserve"> slots. Moreover, t</w:t>
      </w:r>
      <w:r w:rsidR="0051047F">
        <w:rPr>
          <w:bCs/>
          <w:kern w:val="2"/>
          <w:szCs w:val="20"/>
        </w:rPr>
        <w:t>he time separation between two consecutive CSI-RS resources</w:t>
      </w:r>
      <w:r w:rsidR="000A0E8E">
        <w:rPr>
          <w:bCs/>
          <w:kern w:val="2"/>
          <w:szCs w:val="20"/>
        </w:rPr>
        <w:t xml:space="preserve"> should be same</w:t>
      </w:r>
      <w:r w:rsidR="0051047F">
        <w:rPr>
          <w:bCs/>
          <w:kern w:val="2"/>
          <w:szCs w:val="20"/>
        </w:rPr>
        <w:t xml:space="preserve"> in each group</w:t>
      </w:r>
      <w:r w:rsidR="000A0E8E">
        <w:rPr>
          <w:bCs/>
          <w:kern w:val="2"/>
          <w:szCs w:val="20"/>
        </w:rPr>
        <w:t>, and the time separation can be</w:t>
      </w:r>
      <w:r w:rsidR="0051047F">
        <w:rPr>
          <w:bCs/>
          <w:kern w:val="2"/>
          <w:szCs w:val="20"/>
        </w:rPr>
        <w:t xml:space="preserve"> X symbols, </w:t>
      </w:r>
      <w:r w:rsidR="000A0E8E">
        <w:rPr>
          <w:bCs/>
          <w:kern w:val="2"/>
          <w:szCs w:val="20"/>
        </w:rPr>
        <w:t>i.e., X = 2</w:t>
      </w:r>
      <w:r w:rsidR="0051047F">
        <w:rPr>
          <w:bCs/>
          <w:kern w:val="2"/>
          <w:szCs w:val="20"/>
        </w:rPr>
        <w:t>. F</w:t>
      </w:r>
      <w:r w:rsidR="0051047F">
        <w:rPr>
          <w:iCs/>
          <w:szCs w:val="20"/>
        </w:rPr>
        <w:t xml:space="preserve">or </w:t>
      </w:r>
      <w:r w:rsidR="0051047F">
        <w:rPr>
          <w:rFonts w:eastAsia="Batang"/>
          <w:iCs/>
          <w:szCs w:val="20"/>
          <w:lang w:val="en-GB" w:eastAsia="en-US"/>
        </w:rPr>
        <w:t>interference measurement</w:t>
      </w:r>
      <w:r w:rsidR="0051047F">
        <w:rPr>
          <w:iCs/>
          <w:szCs w:val="20"/>
        </w:rPr>
        <w:t xml:space="preserve"> resource, one ZP/NZP IMR is </w:t>
      </w:r>
      <w:r w:rsidR="004D41C8">
        <w:rPr>
          <w:iCs/>
          <w:szCs w:val="20"/>
        </w:rPr>
        <w:t>sufficient</w:t>
      </w:r>
      <w:r w:rsidR="0051047F">
        <w:rPr>
          <w:bCs/>
          <w:kern w:val="2"/>
          <w:szCs w:val="20"/>
        </w:rPr>
        <w:t xml:space="preserve">, </w:t>
      </w:r>
      <w:r w:rsidR="000A0E8E">
        <w:rPr>
          <w:bCs/>
          <w:kern w:val="2"/>
          <w:szCs w:val="20"/>
        </w:rPr>
        <w:t>as similar to</w:t>
      </w:r>
      <w:r w:rsidR="0051047F">
        <w:rPr>
          <w:bCs/>
          <w:kern w:val="2"/>
          <w:szCs w:val="20"/>
        </w:rPr>
        <w:t xml:space="preserve"> Rel-18 Doppler CSI</w:t>
      </w:r>
      <w:r w:rsidR="0051047F">
        <w:rPr>
          <w:iCs/>
          <w:szCs w:val="20"/>
        </w:rPr>
        <w:t>.</w:t>
      </w:r>
    </w:p>
    <w:p w:rsidR="009B70BD" w:rsidRDefault="0051047F">
      <w:pPr>
        <w:tabs>
          <w:tab w:val="left" w:pos="420"/>
        </w:tabs>
        <w:snapToGrid w:val="0"/>
        <w:spacing w:beforeLines="50" w:before="120" w:afterLines="50" w:after="120" w:line="300" w:lineRule="auto"/>
        <w:rPr>
          <w:bCs/>
          <w:i/>
          <w:iCs/>
        </w:rPr>
      </w:pPr>
      <w:r>
        <w:rPr>
          <w:b/>
          <w:i/>
          <w:iCs/>
          <w:kern w:val="2"/>
          <w:szCs w:val="20"/>
        </w:rPr>
        <w:t xml:space="preserve">Proposal </w:t>
      </w:r>
      <w:r w:rsidR="00025E69">
        <w:rPr>
          <w:b/>
          <w:i/>
          <w:iCs/>
          <w:kern w:val="2"/>
          <w:szCs w:val="20"/>
        </w:rPr>
        <w:t>4</w:t>
      </w:r>
      <w:r>
        <w:rPr>
          <w:b/>
          <w:i/>
          <w:iCs/>
          <w:kern w:val="2"/>
          <w:szCs w:val="20"/>
        </w:rPr>
        <w:t>:</w:t>
      </w:r>
      <w:r>
        <w:rPr>
          <w:bCs/>
          <w:i/>
          <w:iCs/>
          <w:kern w:val="2"/>
          <w:szCs w:val="20"/>
        </w:rPr>
        <w:t xml:space="preserve"> </w:t>
      </w:r>
      <w:r>
        <w:rPr>
          <w:bCs/>
          <w:i/>
          <w:iCs/>
        </w:rPr>
        <w:t xml:space="preserve">Regarding Rel-19 Type-I and Type-II codebook refinement, support the following aperiodic CMR configuration for </w:t>
      </w:r>
      <w:r>
        <w:rPr>
          <w:rFonts w:eastAsia="Batang"/>
          <w:i/>
          <w:szCs w:val="20"/>
          <w:lang w:val="en-GB" w:eastAsia="en-US"/>
        </w:rPr>
        <w:t>Rel-18 Type-II Doppler codebook</w:t>
      </w:r>
      <w:r>
        <w:rPr>
          <w:bCs/>
          <w:i/>
          <w:iCs/>
        </w:rPr>
        <w:t>:</w:t>
      </w:r>
    </w:p>
    <w:p w:rsidR="009B70BD" w:rsidRDefault="0051047F">
      <w:pPr>
        <w:numPr>
          <w:ilvl w:val="0"/>
          <w:numId w:val="13"/>
        </w:numPr>
        <w:snapToGrid w:val="0"/>
        <w:spacing w:beforeLines="50" w:before="120" w:afterLines="50" w:after="120" w:line="300" w:lineRule="auto"/>
        <w:rPr>
          <w:i/>
          <w:iCs/>
          <w:lang w:val="en-GB" w:eastAsia="en-US"/>
        </w:rPr>
      </w:pPr>
      <w:r>
        <w:rPr>
          <w:i/>
          <w:iCs/>
        </w:rPr>
        <w:t>The</w:t>
      </w:r>
      <w:r>
        <w:rPr>
          <w:i/>
          <w:iCs/>
          <w:lang w:val="en-GB" w:eastAsia="en-US"/>
        </w:rPr>
        <w:t xml:space="preserve"> CSI resource set contains </w:t>
      </w:r>
      <m:oMath>
        <m:r>
          <w:rPr>
            <w:rFonts w:ascii="Cambria Math" w:hAnsi="Cambria Math"/>
            <w:lang w:val="en-GB" w:eastAsia="en-US"/>
          </w:rPr>
          <m:t>K</m:t>
        </m:r>
        <m:r>
          <w:rPr>
            <w:rFonts w:ascii="Cambria Math" w:hAnsi="Cambria Math" w:hint="eastAsia"/>
          </w:rPr>
          <m:t>∈</m:t>
        </m:r>
        <m:r>
          <w:rPr>
            <w:rFonts w:ascii="Cambria Math" w:hAnsi="Cambria Math" w:hint="eastAsia"/>
          </w:rPr>
          <m:t>{</m:t>
        </m:r>
        <m:r>
          <w:rPr>
            <w:rFonts w:ascii="Cambria Math" w:hAnsi="Cambria Math"/>
          </w:rPr>
          <m:t>4, 8,12}</m:t>
        </m:r>
      </m:oMath>
      <w:r>
        <w:rPr>
          <w:i/>
          <w:iCs/>
          <w:lang w:val="en-GB" w:eastAsia="en-US"/>
        </w:rPr>
        <w:t xml:space="preserve"> CSI-RS resource groups;</w:t>
      </w:r>
    </w:p>
    <w:p w:rsidR="009B70BD" w:rsidRDefault="0051047F">
      <w:pPr>
        <w:numPr>
          <w:ilvl w:val="0"/>
          <w:numId w:val="13"/>
        </w:numPr>
        <w:snapToGrid w:val="0"/>
        <w:spacing w:beforeLines="50" w:before="120" w:afterLines="50" w:after="120" w:line="300" w:lineRule="auto"/>
        <w:rPr>
          <w:i/>
          <w:iCs/>
          <w:lang w:val="en-GB" w:eastAsia="en-US"/>
        </w:rPr>
      </w:pPr>
      <w:r>
        <w:rPr>
          <w:i/>
          <w:iCs/>
          <w:szCs w:val="20"/>
        </w:rPr>
        <w:t>Each group contains up to 4 CSI-RS resources;</w:t>
      </w:r>
    </w:p>
    <w:p w:rsidR="009B70BD" w:rsidRDefault="0051047F">
      <w:pPr>
        <w:numPr>
          <w:ilvl w:val="0"/>
          <w:numId w:val="13"/>
        </w:numPr>
        <w:snapToGrid w:val="0"/>
        <w:spacing w:beforeLines="50" w:before="120" w:afterLines="50" w:after="120" w:line="300" w:lineRule="auto"/>
        <w:rPr>
          <w:i/>
          <w:iCs/>
        </w:rPr>
      </w:pPr>
      <w:r>
        <w:rPr>
          <w:i/>
          <w:iCs/>
        </w:rPr>
        <w:t xml:space="preserve">The time separation between two consecutive groups is </w:t>
      </w:r>
      <m:oMath>
        <m:r>
          <w:rPr>
            <w:rFonts w:ascii="Cambria Math" w:hAnsi="Cambria Math" w:hint="eastAsia"/>
          </w:rPr>
          <m:t>m</m:t>
        </m:r>
        <m:r>
          <w:rPr>
            <w:rFonts w:ascii="Cambria Math" w:hAnsi="Cambria Math" w:hint="eastAsia"/>
          </w:rPr>
          <m:t>∈</m:t>
        </m:r>
        <m:r>
          <w:rPr>
            <w:rFonts w:ascii="Cambria Math" w:hAnsi="Cambria Math" w:hint="eastAsia"/>
          </w:rPr>
          <m:t>{1,2}</m:t>
        </m:r>
      </m:oMath>
      <w:r>
        <w:rPr>
          <w:i/>
          <w:iCs/>
        </w:rPr>
        <w:t xml:space="preserve"> slots;</w:t>
      </w:r>
    </w:p>
    <w:p w:rsidR="009B70BD" w:rsidRDefault="0051047F">
      <w:pPr>
        <w:numPr>
          <w:ilvl w:val="0"/>
          <w:numId w:val="13"/>
        </w:numPr>
        <w:snapToGrid w:val="0"/>
        <w:spacing w:beforeLines="50" w:before="120" w:afterLines="50" w:after="120" w:line="300" w:lineRule="auto"/>
        <w:rPr>
          <w:i/>
          <w:iCs/>
        </w:rPr>
      </w:pPr>
      <w:r>
        <w:rPr>
          <w:i/>
          <w:iCs/>
        </w:rPr>
        <w:t>The time separation between two consecutive CSI-RS resources</w:t>
      </w:r>
      <w:r w:rsidR="000A0E8E">
        <w:rPr>
          <w:i/>
          <w:iCs/>
        </w:rPr>
        <w:t xml:space="preserve"> is same</w:t>
      </w:r>
      <w:r>
        <w:rPr>
          <w:i/>
          <w:iCs/>
        </w:rPr>
        <w:t xml:space="preserve"> in each group</w:t>
      </w:r>
      <w:r w:rsidR="000A0E8E">
        <w:rPr>
          <w:i/>
          <w:iCs/>
        </w:rPr>
        <w:t>, and the time separation can be</w:t>
      </w:r>
      <w:r>
        <w:rPr>
          <w:i/>
          <w:iCs/>
        </w:rPr>
        <w:t xml:space="preserve"> X symbols, e.g., X = 2.</w:t>
      </w:r>
    </w:p>
    <w:p w:rsidR="009B70BD" w:rsidRDefault="0051047F">
      <w:pPr>
        <w:tabs>
          <w:tab w:val="left" w:pos="7938"/>
        </w:tabs>
        <w:snapToGrid w:val="0"/>
        <w:spacing w:before="240" w:afterLines="50" w:after="120" w:line="240" w:lineRule="auto"/>
        <w:outlineLvl w:val="2"/>
        <w:rPr>
          <w:b/>
          <w:bCs/>
          <w:sz w:val="21"/>
          <w:szCs w:val="21"/>
        </w:rPr>
      </w:pPr>
      <w:r>
        <w:rPr>
          <w:b/>
          <w:bCs/>
          <w:sz w:val="21"/>
          <w:szCs w:val="21"/>
        </w:rPr>
        <w:t>2.1.</w:t>
      </w:r>
      <w:r>
        <w:rPr>
          <w:rFonts w:hint="eastAsia"/>
          <w:b/>
          <w:bCs/>
          <w:sz w:val="21"/>
          <w:szCs w:val="21"/>
        </w:rPr>
        <w:t>2</w:t>
      </w:r>
      <w:r>
        <w:rPr>
          <w:b/>
          <w:bCs/>
          <w:sz w:val="21"/>
          <w:szCs w:val="21"/>
        </w:rPr>
        <w:t xml:space="preserve"> Oversampling factor</w:t>
      </w:r>
    </w:p>
    <w:p w:rsidR="009B70BD" w:rsidRDefault="0051047F">
      <w:r>
        <w:rPr>
          <w:rFonts w:hint="eastAsia"/>
        </w:rPr>
        <w:t xml:space="preserve">As the number of antenna ports increases, the number of candidate Type-I/Type-II precoders </w:t>
      </w:r>
      <w:r w:rsidR="00E12749">
        <w:t>also</w:t>
      </w:r>
      <w:r>
        <w:rPr>
          <w:rFonts w:hint="eastAsia"/>
        </w:rPr>
        <w:t xml:space="preserve"> linearly </w:t>
      </w:r>
      <w:r w:rsidR="000C6632">
        <w:rPr>
          <w:rFonts w:hint="eastAsia"/>
        </w:rPr>
        <w:t>increase</w:t>
      </w:r>
      <w:r w:rsidR="000C6632">
        <w:t>s</w:t>
      </w:r>
      <w:r>
        <w:rPr>
          <w:rFonts w:hint="eastAsia"/>
        </w:rPr>
        <w:t xml:space="preserve">. Table 1 lists the number of candidate Type-I precoders for different configurations of </w:t>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2</m:t>
                </m:r>
              </m:sub>
            </m:sSub>
          </m:e>
        </m:d>
      </m:oMath>
      <w:r>
        <w:rPr>
          <w:rFonts w:hAnsi="Cambria Math" w:hint="eastAsia"/>
          <w:iCs/>
        </w:rPr>
        <w:t xml:space="preserve"> and </w:t>
      </w:r>
      <m:oMath>
        <m:d>
          <m:dPr>
            <m:ctrlPr>
              <w:rPr>
                <w:rFonts w:ascii="Cambria Math" w:hAnsi="Cambria Math"/>
              </w:rPr>
            </m:ctrlPr>
          </m:dPr>
          <m:e>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O</m:t>
                </m:r>
              </m:e>
              <m:sub>
                <m:r>
                  <w:rPr>
                    <w:rFonts w:ascii="Cambria Math" w:hAnsi="Cambria Math"/>
                  </w:rPr>
                  <m:t>2</m:t>
                </m:r>
              </m:sub>
            </m:sSub>
          </m:e>
        </m:d>
      </m:oMath>
      <w:r>
        <w:rPr>
          <w:rFonts w:hAnsi="Cambria Math" w:hint="eastAsia"/>
        </w:rPr>
        <w:t xml:space="preserve">. It is shown that, when the number of antenna ports is 128, the maximum number of </w:t>
      </w:r>
      <w:proofErr w:type="gramStart"/>
      <w:r>
        <w:rPr>
          <w:rFonts w:hAnsi="Cambria Math" w:hint="eastAsia"/>
        </w:rPr>
        <w:t>candidate</w:t>
      </w:r>
      <w:proofErr w:type="gramEnd"/>
      <w:r>
        <w:rPr>
          <w:rFonts w:hAnsi="Cambria Math" w:hint="eastAsia"/>
        </w:rPr>
        <w:t xml:space="preserve"> precoders </w:t>
      </w:r>
      <w:r w:rsidR="00C06F70">
        <w:rPr>
          <w:rFonts w:hAnsi="Cambria Math"/>
        </w:rPr>
        <w:t>reaches</w:t>
      </w:r>
      <w:r>
        <w:rPr>
          <w:rFonts w:hAnsi="Cambria Math" w:hint="eastAsia"/>
        </w:rPr>
        <w:t xml:space="preserve"> 8192. Such a large number of </w:t>
      </w:r>
      <w:proofErr w:type="gramStart"/>
      <w:r>
        <w:rPr>
          <w:rFonts w:hAnsi="Cambria Math" w:hint="eastAsia"/>
        </w:rPr>
        <w:t>candidate</w:t>
      </w:r>
      <w:proofErr w:type="gramEnd"/>
      <w:r>
        <w:rPr>
          <w:rFonts w:hAnsi="Cambria Math" w:hint="eastAsia"/>
        </w:rPr>
        <w:t xml:space="preserve"> precoders may lead to unacceptable complexity at UE side. From Table 1, it is also observed that, the candidate number of precoders can be significantly reduced with smaller oversampling factors </w:t>
      </w:r>
      <m:oMath>
        <m:d>
          <m:dPr>
            <m:ctrlPr>
              <w:rPr>
                <w:rFonts w:ascii="Cambria Math" w:hAnsi="Cambria Math"/>
              </w:rPr>
            </m:ctrlPr>
          </m:dPr>
          <m:e>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O</m:t>
                </m:r>
              </m:e>
              <m:sub>
                <m:r>
                  <w:rPr>
                    <w:rFonts w:ascii="Cambria Math" w:hAnsi="Cambria Math"/>
                  </w:rPr>
                  <m:t>2</m:t>
                </m:r>
              </m:sub>
            </m:sSub>
          </m:e>
        </m:d>
      </m:oMath>
      <w:r>
        <w:rPr>
          <w:rFonts w:hAnsi="Cambria Math" w:hint="eastAsia"/>
        </w:rPr>
        <w:t>. Considering that the candidate beams become</w:t>
      </w:r>
      <w:r w:rsidR="00C06F70">
        <w:rPr>
          <w:rFonts w:hAnsi="Cambria Math"/>
        </w:rPr>
        <w:t>s</w:t>
      </w:r>
      <w:r>
        <w:rPr>
          <w:rFonts w:hAnsi="Cambria Math" w:hint="eastAsia"/>
        </w:rPr>
        <w:t xml:space="preserve"> denser with larger number antenna ports, legacy oversampling factors </w:t>
      </w:r>
      <m:oMath>
        <m:d>
          <m:dPr>
            <m:ctrlPr>
              <w:rPr>
                <w:rFonts w:ascii="Cambria Math" w:hAnsi="Cambria Math"/>
              </w:rPr>
            </m:ctrlPr>
          </m:dPr>
          <m:e>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O</m:t>
                </m:r>
              </m:e>
              <m:sub>
                <m:r>
                  <w:rPr>
                    <w:rFonts w:ascii="Cambria Math" w:hAnsi="Cambria Math"/>
                  </w:rPr>
                  <m:t>2</m:t>
                </m:r>
              </m:sub>
            </m:sSub>
          </m:e>
        </m:d>
      </m:oMath>
      <w:r>
        <w:rPr>
          <w:rFonts w:hAnsi="Cambria Math" w:hint="eastAsia"/>
        </w:rPr>
        <w:t xml:space="preserve"> = (4, 4) may not be that necessary as before. </w:t>
      </w:r>
    </w:p>
    <w:p w:rsidR="009B70BD" w:rsidRDefault="0051047F">
      <w:pPr>
        <w:jc w:val="center"/>
        <w:rPr>
          <w:b/>
          <w:bCs/>
        </w:rPr>
      </w:pPr>
      <w:r>
        <w:rPr>
          <w:b/>
          <w:bCs/>
          <w:color w:val="000000"/>
          <w:szCs w:val="20"/>
        </w:rPr>
        <w:lastRenderedPageBreak/>
        <w:t xml:space="preserve">Table </w:t>
      </w:r>
      <w:r>
        <w:rPr>
          <w:rFonts w:hint="eastAsia"/>
          <w:b/>
          <w:bCs/>
          <w:color w:val="000000"/>
          <w:szCs w:val="20"/>
        </w:rPr>
        <w:t>1</w:t>
      </w:r>
      <w:r>
        <w:rPr>
          <w:b/>
          <w:bCs/>
          <w:color w:val="000000"/>
          <w:szCs w:val="20"/>
        </w:rPr>
        <w:t xml:space="preserve"> </w:t>
      </w:r>
      <w:r>
        <w:rPr>
          <w:rFonts w:hint="eastAsia"/>
          <w:color w:val="000000"/>
          <w:szCs w:val="20"/>
        </w:rPr>
        <w:t xml:space="preserve">The number of candidate Type-I PMIs for different configurations of </w:t>
      </w:r>
      <m:oMath>
        <m:d>
          <m:dPr>
            <m:ctrlPr>
              <w:rPr>
                <w:rFonts w:ascii="Cambria Math" w:hAnsi="Cambria Math"/>
                <w:bCs/>
                <w:i/>
                <w:color w:val="000000"/>
              </w:rPr>
            </m:ctrlPr>
          </m:dPr>
          <m:e>
            <m:sSub>
              <m:sSubPr>
                <m:ctrlPr>
                  <w:rPr>
                    <w:rFonts w:ascii="Cambria Math" w:hAnsi="Cambria Math"/>
                    <w:bCs/>
                    <w:i/>
                    <w:color w:val="000000"/>
                  </w:rPr>
                </m:ctrlPr>
              </m:sSubPr>
              <m:e>
                <m:r>
                  <w:rPr>
                    <w:rFonts w:ascii="Cambria Math" w:hAnsi="Cambria Math"/>
                    <w:color w:val="000000"/>
                  </w:rPr>
                  <m:t>N</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bCs/>
                    <w:i/>
                    <w:color w:val="000000"/>
                  </w:rPr>
                </m:ctrlPr>
              </m:sSubPr>
              <m:e>
                <m:r>
                  <w:rPr>
                    <w:rFonts w:ascii="Cambria Math" w:hAnsi="Cambria Math"/>
                    <w:color w:val="000000"/>
                  </w:rPr>
                  <m:t>N</m:t>
                </m:r>
              </m:e>
              <m:sub>
                <m:r>
                  <w:rPr>
                    <w:rFonts w:ascii="Cambria Math" w:hAnsi="Cambria Math"/>
                    <w:color w:val="000000"/>
                  </w:rPr>
                  <m:t>2</m:t>
                </m:r>
              </m:sub>
            </m:sSub>
          </m:e>
        </m:d>
      </m:oMath>
      <w:r>
        <w:rPr>
          <w:rFonts w:hAnsi="Cambria Math" w:hint="eastAsia"/>
          <w:bCs/>
          <w:color w:val="000000"/>
        </w:rPr>
        <w:t xml:space="preserve"> and </w:t>
      </w:r>
      <m:oMath>
        <m:d>
          <m:dPr>
            <m:ctrlPr>
              <w:rPr>
                <w:rFonts w:ascii="Cambria Math" w:hAnsi="Cambria Math"/>
                <w:bCs/>
                <w:i/>
                <w:color w:val="000000"/>
              </w:rPr>
            </m:ctrlPr>
          </m:dPr>
          <m:e>
            <m:sSub>
              <m:sSubPr>
                <m:ctrlPr>
                  <w:rPr>
                    <w:rFonts w:ascii="Cambria Math" w:hAnsi="Cambria Math"/>
                    <w:bCs/>
                    <w:i/>
                    <w:color w:val="000000"/>
                  </w:rPr>
                </m:ctrlPr>
              </m:sSubPr>
              <m:e>
                <m:r>
                  <w:rPr>
                    <w:rFonts w:ascii="Cambria Math" w:hAnsi="Cambria Math"/>
                    <w:color w:val="000000"/>
                  </w:rPr>
                  <m:t>O</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bCs/>
                    <w:i/>
                    <w:color w:val="000000"/>
                  </w:rPr>
                </m:ctrlPr>
              </m:sSubPr>
              <m:e>
                <m:r>
                  <w:rPr>
                    <w:rFonts w:ascii="Cambria Math" w:hAnsi="Cambria Math"/>
                    <w:color w:val="000000"/>
                  </w:rPr>
                  <m:t>O</m:t>
                </m:r>
              </m:e>
              <m:sub>
                <m:r>
                  <w:rPr>
                    <w:rFonts w:ascii="Cambria Math" w:hAnsi="Cambria Math"/>
                    <w:color w:val="000000"/>
                  </w:rPr>
                  <m:t>2</m:t>
                </m:r>
              </m:sub>
            </m:sSub>
          </m:e>
        </m:d>
      </m:oMath>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601"/>
        <w:gridCol w:w="601"/>
        <w:gridCol w:w="601"/>
        <w:gridCol w:w="999"/>
        <w:gridCol w:w="1112"/>
        <w:gridCol w:w="1112"/>
        <w:gridCol w:w="1112"/>
        <w:gridCol w:w="1115"/>
      </w:tblGrid>
      <w:tr w:rsidR="009B70BD">
        <w:trPr>
          <w:trHeight w:val="911"/>
          <w:jc w:val="center"/>
        </w:trPr>
        <w:tc>
          <w:tcPr>
            <w:tcW w:w="601" w:type="dxa"/>
            <w:shd w:val="clear" w:color="auto" w:fill="BFBFBF" w:themeFill="background1" w:themeFillShade="BF"/>
            <w:noWrap/>
            <w:vAlign w:val="center"/>
          </w:tcPr>
          <w:p w:rsidR="009B70BD" w:rsidRDefault="00D2139D">
            <w:pPr>
              <w:spacing w:after="0" w:line="240" w:lineRule="auto"/>
              <w:jc w:val="center"/>
              <w:textAlignment w:val="bottom"/>
              <w:rPr>
                <w:szCs w:val="20"/>
              </w:rPr>
            </w:pPr>
            <m:oMathPara>
              <m:oMath>
                <m:sSub>
                  <m:sSubPr>
                    <m:ctrlPr>
                      <w:rPr>
                        <w:rFonts w:ascii="Cambria Math" w:hAnsi="Cambria Math"/>
                        <w:bCs/>
                        <w:i/>
                      </w:rPr>
                    </m:ctrlPr>
                  </m:sSubPr>
                  <m:e>
                    <m:r>
                      <w:rPr>
                        <w:rFonts w:ascii="Cambria Math" w:hAnsi="Cambria Math"/>
                      </w:rPr>
                      <m:t>N</m:t>
                    </m:r>
                  </m:e>
                  <m:sub>
                    <m:r>
                      <w:rPr>
                        <w:rFonts w:ascii="Cambria Math" w:hAnsi="Cambria Math"/>
                      </w:rPr>
                      <m:t>1</m:t>
                    </m:r>
                  </m:sub>
                </m:sSub>
              </m:oMath>
            </m:oMathPara>
          </w:p>
        </w:tc>
        <w:tc>
          <w:tcPr>
            <w:tcW w:w="601" w:type="dxa"/>
            <w:shd w:val="clear" w:color="auto" w:fill="BFBFBF" w:themeFill="background1" w:themeFillShade="BF"/>
            <w:noWrap/>
            <w:vAlign w:val="center"/>
          </w:tcPr>
          <w:p w:rsidR="009B70BD" w:rsidRDefault="00D2139D">
            <w:pPr>
              <w:spacing w:after="0" w:line="240" w:lineRule="auto"/>
              <w:jc w:val="center"/>
              <w:textAlignment w:val="bottom"/>
              <w:rPr>
                <w:szCs w:val="20"/>
              </w:rPr>
            </w:pPr>
            <m:oMathPara>
              <m:oMath>
                <m:sSub>
                  <m:sSubPr>
                    <m:ctrlPr>
                      <w:rPr>
                        <w:rFonts w:ascii="Cambria Math" w:hAnsi="Cambria Math"/>
                        <w:bCs/>
                        <w:i/>
                      </w:rPr>
                    </m:ctrlPr>
                  </m:sSubPr>
                  <m:e>
                    <m:r>
                      <w:rPr>
                        <w:rFonts w:ascii="Cambria Math" w:hAnsi="Cambria Math"/>
                      </w:rPr>
                      <m:t>N</m:t>
                    </m:r>
                  </m:e>
                  <m:sub>
                    <m:r>
                      <w:rPr>
                        <w:rFonts w:ascii="Cambria Math" w:hAnsi="Cambria Math"/>
                      </w:rPr>
                      <m:t>2</m:t>
                    </m:r>
                  </m:sub>
                </m:sSub>
              </m:oMath>
            </m:oMathPara>
          </w:p>
        </w:tc>
        <w:tc>
          <w:tcPr>
            <w:tcW w:w="601" w:type="dxa"/>
            <w:shd w:val="clear" w:color="auto" w:fill="BFBFBF" w:themeFill="background1" w:themeFillShade="BF"/>
            <w:noWrap/>
            <w:vAlign w:val="center"/>
          </w:tcPr>
          <w:p w:rsidR="009B70BD" w:rsidRDefault="00D2139D">
            <w:pPr>
              <w:spacing w:after="0" w:line="240" w:lineRule="auto"/>
              <w:jc w:val="center"/>
              <w:textAlignment w:val="bottom"/>
              <w:rPr>
                <w:szCs w:val="20"/>
              </w:rPr>
            </w:pPr>
            <m:oMathPara>
              <m:oMath>
                <m:sSub>
                  <m:sSubPr>
                    <m:ctrlPr>
                      <w:rPr>
                        <w:rFonts w:ascii="Cambria Math" w:hAnsi="Cambria Math"/>
                        <w:bCs/>
                        <w:i/>
                      </w:rPr>
                    </m:ctrlPr>
                  </m:sSubPr>
                  <m:e>
                    <m:r>
                      <w:rPr>
                        <w:rFonts w:ascii="Cambria Math" w:hAnsi="Cambria Math"/>
                      </w:rPr>
                      <m:t>O</m:t>
                    </m:r>
                  </m:e>
                  <m:sub>
                    <m:r>
                      <w:rPr>
                        <w:rFonts w:ascii="Cambria Math" w:hAnsi="Cambria Math"/>
                      </w:rPr>
                      <m:t>1</m:t>
                    </m:r>
                  </m:sub>
                </m:sSub>
              </m:oMath>
            </m:oMathPara>
          </w:p>
        </w:tc>
        <w:tc>
          <w:tcPr>
            <w:tcW w:w="601" w:type="dxa"/>
            <w:shd w:val="clear" w:color="auto" w:fill="BFBFBF" w:themeFill="background1" w:themeFillShade="BF"/>
            <w:noWrap/>
            <w:vAlign w:val="center"/>
          </w:tcPr>
          <w:p w:rsidR="009B70BD" w:rsidRDefault="00D2139D">
            <w:pPr>
              <w:spacing w:after="0" w:line="240" w:lineRule="auto"/>
              <w:jc w:val="center"/>
              <w:textAlignment w:val="bottom"/>
              <w:rPr>
                <w:szCs w:val="20"/>
              </w:rPr>
            </w:pPr>
            <m:oMathPara>
              <m:oMath>
                <m:sSub>
                  <m:sSubPr>
                    <m:ctrlPr>
                      <w:rPr>
                        <w:rFonts w:ascii="Cambria Math" w:hAnsi="Cambria Math"/>
                        <w:bCs/>
                        <w:i/>
                      </w:rPr>
                    </m:ctrlPr>
                  </m:sSubPr>
                  <m:e>
                    <m:r>
                      <w:rPr>
                        <w:rFonts w:ascii="Cambria Math" w:hAnsi="Cambria Math"/>
                      </w:rPr>
                      <m:t>O</m:t>
                    </m:r>
                  </m:e>
                  <m:sub>
                    <m:r>
                      <w:rPr>
                        <w:rFonts w:ascii="Cambria Math" w:hAnsi="Cambria Math"/>
                      </w:rPr>
                      <m:t>2</m:t>
                    </m:r>
                  </m:sub>
                </m:sSub>
              </m:oMath>
            </m:oMathPara>
          </w:p>
        </w:tc>
        <w:tc>
          <w:tcPr>
            <w:tcW w:w="999" w:type="dxa"/>
            <w:shd w:val="clear" w:color="auto" w:fill="BFBFBF" w:themeFill="background1" w:themeFillShade="BF"/>
            <w:noWrap/>
            <w:vAlign w:val="center"/>
          </w:tcPr>
          <w:p w:rsidR="009B70BD" w:rsidRDefault="0051047F">
            <w:pPr>
              <w:spacing w:after="0" w:line="240" w:lineRule="auto"/>
              <w:jc w:val="center"/>
              <w:textAlignment w:val="bottom"/>
              <w:rPr>
                <w:szCs w:val="20"/>
              </w:rPr>
            </w:pPr>
            <w:r>
              <w:rPr>
                <w:rFonts w:hint="eastAsia"/>
                <w:szCs w:val="20"/>
                <w:lang w:bidi="ar"/>
              </w:rPr>
              <w:t># of ports</w:t>
            </w:r>
          </w:p>
        </w:tc>
        <w:tc>
          <w:tcPr>
            <w:tcW w:w="1112" w:type="dxa"/>
            <w:shd w:val="clear" w:color="auto" w:fill="BFBFBF" w:themeFill="background1" w:themeFillShade="BF"/>
            <w:noWrap/>
            <w:vAlign w:val="center"/>
          </w:tcPr>
          <w:p w:rsidR="009B70BD" w:rsidRDefault="0051047F">
            <w:pPr>
              <w:spacing w:after="0" w:line="240" w:lineRule="auto"/>
              <w:jc w:val="center"/>
              <w:textAlignment w:val="bottom"/>
              <w:rPr>
                <w:szCs w:val="20"/>
              </w:rPr>
            </w:pPr>
            <w:r>
              <w:rPr>
                <w:rFonts w:hint="eastAsia"/>
                <w:szCs w:val="20"/>
                <w:lang w:bidi="ar"/>
              </w:rPr>
              <w:t># of PMIs</w:t>
            </w:r>
            <w:r>
              <w:rPr>
                <w:szCs w:val="20"/>
                <w:lang w:bidi="ar"/>
              </w:rPr>
              <w:t xml:space="preserve"> </w:t>
            </w:r>
            <w:r>
              <w:rPr>
                <w:rFonts w:hint="eastAsia"/>
                <w:szCs w:val="20"/>
                <w:lang w:bidi="ar"/>
              </w:rPr>
              <w:t>(</w:t>
            </w:r>
            <w:r>
              <w:rPr>
                <w:szCs w:val="20"/>
                <w:lang w:bidi="ar"/>
              </w:rPr>
              <w:t>rank=1</w:t>
            </w:r>
            <w:r>
              <w:rPr>
                <w:rFonts w:hint="eastAsia"/>
                <w:szCs w:val="20"/>
                <w:lang w:bidi="ar"/>
              </w:rPr>
              <w:t>)</w:t>
            </w:r>
          </w:p>
        </w:tc>
        <w:tc>
          <w:tcPr>
            <w:tcW w:w="1112" w:type="dxa"/>
            <w:shd w:val="clear" w:color="auto" w:fill="BFBFBF" w:themeFill="background1" w:themeFillShade="BF"/>
            <w:noWrap/>
            <w:vAlign w:val="center"/>
          </w:tcPr>
          <w:p w:rsidR="009B70BD" w:rsidRDefault="0051047F">
            <w:pPr>
              <w:spacing w:after="0" w:line="240" w:lineRule="auto"/>
              <w:jc w:val="center"/>
              <w:textAlignment w:val="bottom"/>
              <w:rPr>
                <w:szCs w:val="20"/>
              </w:rPr>
            </w:pPr>
            <w:r>
              <w:rPr>
                <w:rFonts w:hint="eastAsia"/>
                <w:szCs w:val="20"/>
                <w:lang w:bidi="ar"/>
              </w:rPr>
              <w:t># of PMIs</w:t>
            </w:r>
            <w:r>
              <w:rPr>
                <w:szCs w:val="20"/>
                <w:lang w:bidi="ar"/>
              </w:rPr>
              <w:t xml:space="preserve"> </w:t>
            </w:r>
            <w:r>
              <w:rPr>
                <w:rFonts w:hint="eastAsia"/>
                <w:szCs w:val="20"/>
                <w:lang w:bidi="ar"/>
              </w:rPr>
              <w:t>(</w:t>
            </w:r>
            <w:r>
              <w:rPr>
                <w:szCs w:val="20"/>
                <w:lang w:bidi="ar"/>
              </w:rPr>
              <w:t>rank=</w:t>
            </w:r>
            <w:r>
              <w:rPr>
                <w:rFonts w:hint="eastAsia"/>
                <w:szCs w:val="20"/>
                <w:lang w:bidi="ar"/>
              </w:rPr>
              <w:t>2)</w:t>
            </w:r>
          </w:p>
        </w:tc>
        <w:tc>
          <w:tcPr>
            <w:tcW w:w="1112" w:type="dxa"/>
            <w:shd w:val="clear" w:color="auto" w:fill="BFBFBF" w:themeFill="background1" w:themeFillShade="BF"/>
            <w:noWrap/>
            <w:vAlign w:val="center"/>
          </w:tcPr>
          <w:p w:rsidR="009B70BD" w:rsidRDefault="0051047F">
            <w:pPr>
              <w:spacing w:after="0" w:line="240" w:lineRule="auto"/>
              <w:jc w:val="center"/>
              <w:textAlignment w:val="bottom"/>
              <w:rPr>
                <w:szCs w:val="20"/>
              </w:rPr>
            </w:pPr>
            <w:r>
              <w:rPr>
                <w:rFonts w:hint="eastAsia"/>
                <w:szCs w:val="20"/>
                <w:lang w:bidi="ar"/>
              </w:rPr>
              <w:t># of PMIs</w:t>
            </w:r>
            <w:r>
              <w:rPr>
                <w:szCs w:val="20"/>
                <w:lang w:bidi="ar"/>
              </w:rPr>
              <w:t xml:space="preserve"> </w:t>
            </w:r>
            <w:r>
              <w:rPr>
                <w:rFonts w:hint="eastAsia"/>
                <w:szCs w:val="20"/>
                <w:lang w:bidi="ar"/>
              </w:rPr>
              <w:t>(</w:t>
            </w:r>
            <w:r>
              <w:rPr>
                <w:szCs w:val="20"/>
                <w:lang w:bidi="ar"/>
              </w:rPr>
              <w:t>rank=</w:t>
            </w:r>
            <w:r>
              <w:rPr>
                <w:rFonts w:hint="eastAsia"/>
                <w:szCs w:val="20"/>
                <w:lang w:bidi="ar"/>
              </w:rPr>
              <w:t>3)</w:t>
            </w:r>
          </w:p>
        </w:tc>
        <w:tc>
          <w:tcPr>
            <w:tcW w:w="1115" w:type="dxa"/>
            <w:shd w:val="clear" w:color="auto" w:fill="BFBFBF" w:themeFill="background1" w:themeFillShade="BF"/>
            <w:noWrap/>
            <w:vAlign w:val="center"/>
          </w:tcPr>
          <w:p w:rsidR="009B70BD" w:rsidRDefault="0051047F">
            <w:pPr>
              <w:spacing w:after="0" w:line="240" w:lineRule="auto"/>
              <w:jc w:val="center"/>
              <w:textAlignment w:val="bottom"/>
              <w:rPr>
                <w:szCs w:val="20"/>
              </w:rPr>
            </w:pPr>
            <w:r>
              <w:rPr>
                <w:rFonts w:hint="eastAsia"/>
                <w:szCs w:val="20"/>
                <w:lang w:bidi="ar"/>
              </w:rPr>
              <w:t># of PMIs</w:t>
            </w:r>
            <w:r>
              <w:rPr>
                <w:szCs w:val="20"/>
                <w:lang w:bidi="ar"/>
              </w:rPr>
              <w:t xml:space="preserve"> </w:t>
            </w:r>
            <w:r>
              <w:rPr>
                <w:rFonts w:hint="eastAsia"/>
                <w:szCs w:val="20"/>
                <w:lang w:bidi="ar"/>
              </w:rPr>
              <w:t>(</w:t>
            </w:r>
            <w:r>
              <w:rPr>
                <w:szCs w:val="20"/>
                <w:lang w:bidi="ar"/>
              </w:rPr>
              <w:t>rank=</w:t>
            </w:r>
            <w:r>
              <w:rPr>
                <w:rFonts w:hint="eastAsia"/>
                <w:szCs w:val="20"/>
                <w:lang w:bidi="ar"/>
              </w:rPr>
              <w:t>4)</w:t>
            </w:r>
          </w:p>
        </w:tc>
      </w:tr>
      <w:tr w:rsidR="009B70BD">
        <w:trPr>
          <w:trHeight w:val="383"/>
          <w:jc w:val="center"/>
        </w:trPr>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rFonts w:hint="eastAsia"/>
                <w:color w:val="000000"/>
                <w:szCs w:val="20"/>
                <w:lang w:bidi="ar"/>
              </w:rPr>
              <w:t>8</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rFonts w:hint="eastAsia"/>
                <w:color w:val="000000"/>
                <w:szCs w:val="20"/>
                <w:lang w:bidi="ar"/>
              </w:rPr>
              <w:t>3</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w:t>
            </w:r>
          </w:p>
        </w:tc>
        <w:tc>
          <w:tcPr>
            <w:tcW w:w="999"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48</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384</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768</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384</w:t>
            </w:r>
          </w:p>
        </w:tc>
        <w:tc>
          <w:tcPr>
            <w:tcW w:w="1115"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384</w:t>
            </w:r>
          </w:p>
        </w:tc>
      </w:tr>
      <w:tr w:rsidR="009B70BD">
        <w:trPr>
          <w:trHeight w:val="372"/>
          <w:jc w:val="center"/>
        </w:trPr>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w:t>
            </w:r>
          </w:p>
        </w:tc>
        <w:tc>
          <w:tcPr>
            <w:tcW w:w="999"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64</w:t>
            </w:r>
          </w:p>
        </w:tc>
        <w:tc>
          <w:tcPr>
            <w:tcW w:w="1112" w:type="dxa"/>
            <w:shd w:val="clear" w:color="auto" w:fill="auto"/>
            <w:noWrap/>
            <w:vAlign w:val="center"/>
          </w:tcPr>
          <w:p w:rsidR="009B70BD" w:rsidRDefault="0051047F">
            <w:pPr>
              <w:spacing w:after="0" w:line="240" w:lineRule="auto"/>
              <w:jc w:val="center"/>
              <w:textAlignment w:val="bottom"/>
              <w:rPr>
                <w:color w:val="000000"/>
                <w:szCs w:val="20"/>
                <w:lang w:bidi="ar"/>
              </w:rPr>
            </w:pPr>
            <w:r>
              <w:rPr>
                <w:color w:val="000000"/>
                <w:szCs w:val="20"/>
                <w:lang w:bidi="ar"/>
              </w:rPr>
              <w:t>512</w:t>
            </w:r>
          </w:p>
        </w:tc>
        <w:tc>
          <w:tcPr>
            <w:tcW w:w="1112" w:type="dxa"/>
            <w:shd w:val="clear" w:color="auto" w:fill="auto"/>
            <w:noWrap/>
            <w:vAlign w:val="center"/>
          </w:tcPr>
          <w:p w:rsidR="009B70BD" w:rsidRDefault="0051047F">
            <w:pPr>
              <w:spacing w:after="0" w:line="240" w:lineRule="auto"/>
              <w:jc w:val="center"/>
              <w:textAlignment w:val="bottom"/>
              <w:rPr>
                <w:color w:val="000000"/>
                <w:szCs w:val="20"/>
                <w:lang w:bidi="ar"/>
              </w:rPr>
            </w:pPr>
            <w:r>
              <w:rPr>
                <w:color w:val="000000"/>
                <w:szCs w:val="20"/>
                <w:lang w:bidi="ar"/>
              </w:rPr>
              <w:t>1024</w:t>
            </w:r>
          </w:p>
        </w:tc>
        <w:tc>
          <w:tcPr>
            <w:tcW w:w="1112" w:type="dxa"/>
            <w:shd w:val="clear" w:color="auto" w:fill="auto"/>
            <w:noWrap/>
            <w:vAlign w:val="center"/>
          </w:tcPr>
          <w:p w:rsidR="009B70BD" w:rsidRDefault="0051047F">
            <w:pPr>
              <w:spacing w:after="0" w:line="240" w:lineRule="auto"/>
              <w:jc w:val="center"/>
              <w:textAlignment w:val="bottom"/>
              <w:rPr>
                <w:color w:val="000000"/>
                <w:szCs w:val="20"/>
                <w:lang w:bidi="ar"/>
              </w:rPr>
            </w:pPr>
            <w:r>
              <w:rPr>
                <w:color w:val="000000"/>
                <w:szCs w:val="20"/>
                <w:lang w:bidi="ar"/>
              </w:rPr>
              <w:t>512</w:t>
            </w:r>
          </w:p>
        </w:tc>
        <w:tc>
          <w:tcPr>
            <w:tcW w:w="1115" w:type="dxa"/>
            <w:shd w:val="clear" w:color="auto" w:fill="auto"/>
            <w:noWrap/>
            <w:vAlign w:val="center"/>
          </w:tcPr>
          <w:p w:rsidR="009B70BD" w:rsidRDefault="0051047F">
            <w:pPr>
              <w:spacing w:after="0" w:line="240" w:lineRule="auto"/>
              <w:jc w:val="center"/>
              <w:textAlignment w:val="bottom"/>
              <w:rPr>
                <w:color w:val="000000"/>
                <w:szCs w:val="20"/>
                <w:lang w:bidi="ar"/>
              </w:rPr>
            </w:pPr>
            <w:r>
              <w:rPr>
                <w:color w:val="000000"/>
                <w:szCs w:val="20"/>
                <w:lang w:bidi="ar"/>
              </w:rPr>
              <w:t>512</w:t>
            </w:r>
          </w:p>
        </w:tc>
      </w:tr>
      <w:tr w:rsidR="009B70BD">
        <w:trPr>
          <w:trHeight w:val="365"/>
          <w:jc w:val="center"/>
        </w:trPr>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w:t>
            </w:r>
          </w:p>
        </w:tc>
        <w:tc>
          <w:tcPr>
            <w:tcW w:w="999"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rPr>
              <w:t>72</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576</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1152</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576</w:t>
            </w:r>
          </w:p>
        </w:tc>
        <w:tc>
          <w:tcPr>
            <w:tcW w:w="1115"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576</w:t>
            </w:r>
          </w:p>
        </w:tc>
      </w:tr>
      <w:tr w:rsidR="009B70BD">
        <w:trPr>
          <w:trHeight w:val="273"/>
          <w:jc w:val="center"/>
        </w:trPr>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w:t>
            </w:r>
          </w:p>
        </w:tc>
        <w:tc>
          <w:tcPr>
            <w:tcW w:w="999"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rPr>
              <w:t>96</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768</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1536</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768</w:t>
            </w:r>
          </w:p>
        </w:tc>
        <w:tc>
          <w:tcPr>
            <w:tcW w:w="1115"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768</w:t>
            </w:r>
          </w:p>
        </w:tc>
      </w:tr>
      <w:tr w:rsidR="009B70BD">
        <w:trPr>
          <w:trHeight w:val="273"/>
          <w:jc w:val="center"/>
        </w:trPr>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w:t>
            </w:r>
          </w:p>
        </w:tc>
        <w:tc>
          <w:tcPr>
            <w:tcW w:w="999"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rPr>
              <w:t>128</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1024</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2048</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1024</w:t>
            </w:r>
          </w:p>
        </w:tc>
        <w:tc>
          <w:tcPr>
            <w:tcW w:w="1115"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1024</w:t>
            </w:r>
          </w:p>
        </w:tc>
      </w:tr>
      <w:tr w:rsidR="009B70BD">
        <w:trPr>
          <w:trHeight w:val="273"/>
          <w:jc w:val="center"/>
        </w:trPr>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rFonts w:hint="eastAsia"/>
                <w:color w:val="000000"/>
                <w:szCs w:val="20"/>
              </w:rPr>
              <w:t>8</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rFonts w:hint="eastAsia"/>
                <w:color w:val="000000"/>
                <w:szCs w:val="20"/>
                <w:lang w:bidi="ar"/>
              </w:rPr>
              <w:t>3</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999"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48</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1536</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3072</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1536</w:t>
            </w:r>
          </w:p>
        </w:tc>
        <w:tc>
          <w:tcPr>
            <w:tcW w:w="1115"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1536</w:t>
            </w:r>
          </w:p>
        </w:tc>
      </w:tr>
      <w:tr w:rsidR="009B70BD">
        <w:trPr>
          <w:trHeight w:val="273"/>
          <w:jc w:val="center"/>
        </w:trPr>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999"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64</w:t>
            </w:r>
          </w:p>
        </w:tc>
        <w:tc>
          <w:tcPr>
            <w:tcW w:w="1112" w:type="dxa"/>
            <w:shd w:val="clear" w:color="auto" w:fill="auto"/>
            <w:noWrap/>
            <w:vAlign w:val="center"/>
          </w:tcPr>
          <w:p w:rsidR="009B70BD" w:rsidRDefault="0051047F">
            <w:pPr>
              <w:spacing w:after="0" w:line="240" w:lineRule="auto"/>
              <w:jc w:val="center"/>
              <w:textAlignment w:val="bottom"/>
              <w:rPr>
                <w:color w:val="000000"/>
                <w:szCs w:val="20"/>
                <w:lang w:bidi="ar"/>
              </w:rPr>
            </w:pPr>
            <w:r>
              <w:rPr>
                <w:color w:val="000000"/>
                <w:szCs w:val="20"/>
                <w:lang w:bidi="ar"/>
              </w:rPr>
              <w:t>2048</w:t>
            </w:r>
          </w:p>
        </w:tc>
        <w:tc>
          <w:tcPr>
            <w:tcW w:w="1112" w:type="dxa"/>
            <w:shd w:val="clear" w:color="auto" w:fill="auto"/>
            <w:noWrap/>
            <w:vAlign w:val="center"/>
          </w:tcPr>
          <w:p w:rsidR="009B70BD" w:rsidRDefault="0051047F">
            <w:pPr>
              <w:spacing w:after="0" w:line="240" w:lineRule="auto"/>
              <w:jc w:val="center"/>
              <w:textAlignment w:val="bottom"/>
              <w:rPr>
                <w:color w:val="000000"/>
                <w:szCs w:val="20"/>
                <w:lang w:bidi="ar"/>
              </w:rPr>
            </w:pPr>
            <w:r>
              <w:rPr>
                <w:color w:val="000000"/>
                <w:szCs w:val="20"/>
                <w:lang w:bidi="ar"/>
              </w:rPr>
              <w:t>4096</w:t>
            </w:r>
          </w:p>
        </w:tc>
        <w:tc>
          <w:tcPr>
            <w:tcW w:w="1112" w:type="dxa"/>
            <w:shd w:val="clear" w:color="auto" w:fill="auto"/>
            <w:noWrap/>
            <w:vAlign w:val="center"/>
          </w:tcPr>
          <w:p w:rsidR="009B70BD" w:rsidRDefault="0051047F">
            <w:pPr>
              <w:spacing w:after="0" w:line="240" w:lineRule="auto"/>
              <w:jc w:val="center"/>
              <w:textAlignment w:val="bottom"/>
              <w:rPr>
                <w:color w:val="000000"/>
                <w:szCs w:val="20"/>
                <w:lang w:bidi="ar"/>
              </w:rPr>
            </w:pPr>
            <w:r>
              <w:rPr>
                <w:color w:val="000000"/>
                <w:szCs w:val="20"/>
                <w:lang w:bidi="ar"/>
              </w:rPr>
              <w:t>2048</w:t>
            </w:r>
          </w:p>
        </w:tc>
        <w:tc>
          <w:tcPr>
            <w:tcW w:w="1115" w:type="dxa"/>
            <w:shd w:val="clear" w:color="auto" w:fill="auto"/>
            <w:noWrap/>
            <w:vAlign w:val="center"/>
          </w:tcPr>
          <w:p w:rsidR="009B70BD" w:rsidRDefault="0051047F">
            <w:pPr>
              <w:spacing w:after="0" w:line="240" w:lineRule="auto"/>
              <w:jc w:val="center"/>
              <w:textAlignment w:val="bottom"/>
              <w:rPr>
                <w:color w:val="000000"/>
                <w:szCs w:val="20"/>
                <w:lang w:bidi="ar"/>
              </w:rPr>
            </w:pPr>
            <w:r>
              <w:rPr>
                <w:color w:val="000000"/>
                <w:szCs w:val="20"/>
                <w:lang w:bidi="ar"/>
              </w:rPr>
              <w:t>2048</w:t>
            </w:r>
          </w:p>
        </w:tc>
      </w:tr>
      <w:tr w:rsidR="009B70BD">
        <w:trPr>
          <w:trHeight w:val="273"/>
          <w:jc w:val="center"/>
        </w:trPr>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999"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rPr>
              <w:t>72</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2304</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4608</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2304</w:t>
            </w:r>
          </w:p>
        </w:tc>
        <w:tc>
          <w:tcPr>
            <w:tcW w:w="1115"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2304</w:t>
            </w:r>
          </w:p>
        </w:tc>
      </w:tr>
      <w:tr w:rsidR="009B70BD">
        <w:trPr>
          <w:trHeight w:val="273"/>
          <w:jc w:val="center"/>
        </w:trPr>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999"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rPr>
              <w:t>96</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3072</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6144</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3072</w:t>
            </w:r>
          </w:p>
        </w:tc>
        <w:tc>
          <w:tcPr>
            <w:tcW w:w="1115"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3072</w:t>
            </w:r>
          </w:p>
        </w:tc>
      </w:tr>
      <w:tr w:rsidR="009B70BD">
        <w:trPr>
          <w:trHeight w:val="377"/>
          <w:jc w:val="center"/>
        </w:trPr>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w:t>
            </w:r>
          </w:p>
        </w:tc>
        <w:tc>
          <w:tcPr>
            <w:tcW w:w="999"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rPr>
              <w:t>128</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4096</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8192</w:t>
            </w:r>
          </w:p>
        </w:tc>
        <w:tc>
          <w:tcPr>
            <w:tcW w:w="1112"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4096</w:t>
            </w:r>
          </w:p>
        </w:tc>
        <w:tc>
          <w:tcPr>
            <w:tcW w:w="1115" w:type="dxa"/>
            <w:shd w:val="clear" w:color="auto" w:fill="auto"/>
            <w:noWrap/>
            <w:vAlign w:val="center"/>
          </w:tcPr>
          <w:p w:rsidR="009B70BD" w:rsidRDefault="0051047F">
            <w:pPr>
              <w:spacing w:after="0" w:line="240" w:lineRule="auto"/>
              <w:jc w:val="center"/>
              <w:textAlignment w:val="bottom"/>
              <w:rPr>
                <w:color w:val="000000"/>
                <w:szCs w:val="20"/>
              </w:rPr>
            </w:pPr>
            <w:r>
              <w:rPr>
                <w:color w:val="000000"/>
                <w:szCs w:val="20"/>
                <w:lang w:bidi="ar"/>
              </w:rPr>
              <w:t>4096</w:t>
            </w:r>
          </w:p>
        </w:tc>
      </w:tr>
    </w:tbl>
    <w:p w:rsidR="009B70BD" w:rsidRDefault="0051047F">
      <w:pPr>
        <w:snapToGrid w:val="0"/>
        <w:spacing w:beforeLines="25" w:before="60" w:afterLines="50" w:after="120" w:line="300" w:lineRule="auto"/>
      </w:pPr>
      <w:r>
        <w:rPr>
          <w:rFonts w:eastAsia="微软雅黑" w:hint="eastAsia"/>
          <w:szCs w:val="20"/>
        </w:rPr>
        <w:t xml:space="preserve">As the antenna ports increase, the beam width becomes narrower, then the performance gain provided by </w:t>
      </w:r>
      <w:r w:rsidR="00ED0116">
        <w:rPr>
          <w:rFonts w:eastAsia="微软雅黑"/>
          <w:szCs w:val="20"/>
        </w:rPr>
        <w:t>larger</w:t>
      </w:r>
      <w:r w:rsidR="00ED0116">
        <w:rPr>
          <w:rFonts w:eastAsia="微软雅黑" w:hint="eastAsia"/>
          <w:szCs w:val="20"/>
        </w:rPr>
        <w:t xml:space="preserve"> </w:t>
      </w:r>
      <w:r>
        <w:rPr>
          <w:rFonts w:eastAsia="微软雅黑" w:hint="eastAsia"/>
          <w:szCs w:val="20"/>
        </w:rPr>
        <w:t>oversampling factor</w:t>
      </w:r>
      <w:r w:rsidR="00ED0116">
        <w:rPr>
          <w:rFonts w:eastAsia="微软雅黑"/>
          <w:szCs w:val="20"/>
        </w:rPr>
        <w:t>s</w:t>
      </w:r>
      <w:r>
        <w:rPr>
          <w:rFonts w:eastAsia="微软雅黑" w:hint="eastAsia"/>
          <w:szCs w:val="20"/>
        </w:rPr>
        <w:t xml:space="preserve"> becomes less significant, </w:t>
      </w:r>
      <w:r w:rsidR="000C6632">
        <w:rPr>
          <w:rFonts w:eastAsia="微软雅黑"/>
          <w:szCs w:val="20"/>
        </w:rPr>
        <w:t>particularly when</w:t>
      </w:r>
      <w:r>
        <w:rPr>
          <w:rFonts w:eastAsia="微软雅黑" w:hint="eastAsia"/>
          <w:szCs w:val="20"/>
        </w:rPr>
        <w:t xml:space="preserve"> </w:t>
      </w:r>
      <w:r>
        <w:rPr>
          <w:iCs/>
        </w:rPr>
        <w:t xml:space="preserve">the number of antenna port </w:t>
      </w:r>
      <w:r>
        <w:rPr>
          <w:i/>
        </w:rPr>
        <w:t xml:space="preserve">P &gt; </w:t>
      </w:r>
      <w:r w:rsidRPr="0058572B">
        <w:t>32</w:t>
      </w:r>
      <w:r w:rsidRPr="000C6632">
        <w:rPr>
          <w:rFonts w:eastAsia="微软雅黑" w:hint="eastAsia"/>
          <w:szCs w:val="20"/>
        </w:rPr>
        <w:t>.</w:t>
      </w:r>
      <w:r>
        <w:rPr>
          <w:rFonts w:eastAsia="微软雅黑" w:hint="eastAsia"/>
          <w:szCs w:val="20"/>
        </w:rPr>
        <w:t xml:space="preserve"> SLS is conducted to evaluate the performance of 64T/72T </w:t>
      </w:r>
      <w:r>
        <w:rPr>
          <w:rFonts w:hint="eastAsia"/>
        </w:rPr>
        <w:t xml:space="preserve">Type-I codebook with 1, </w:t>
      </w:r>
      <w:r>
        <w:t>2- and 4-time</w:t>
      </w:r>
      <w:r>
        <w:rPr>
          <w:rFonts w:hint="eastAsia"/>
        </w:rPr>
        <w:t xml:space="preserve"> oversampling</w:t>
      </w:r>
      <w:r>
        <w:rPr>
          <w:rFonts w:eastAsia="微软雅黑" w:hint="eastAsia"/>
          <w:szCs w:val="20"/>
        </w:rPr>
        <w:t xml:space="preserve">, where </w:t>
      </w:r>
      <m:oMath>
        <m:d>
          <m:dPr>
            <m:ctrlPr>
              <w:rPr>
                <w:rFonts w:ascii="Cambria Math" w:hAnsi="Cambria Math"/>
              </w:rPr>
            </m:ctrlPr>
          </m:dPr>
          <m:e>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O</m:t>
                </m:r>
              </m:e>
              <m:sub>
                <m:r>
                  <w:rPr>
                    <w:rFonts w:ascii="Cambria Math" w:hAnsi="Cambria Math"/>
                  </w:rPr>
                  <m:t>2</m:t>
                </m:r>
              </m:sub>
            </m:sSub>
          </m:e>
        </m:d>
      </m:oMath>
      <w:r>
        <w:rPr>
          <w:rFonts w:hAnsi="Cambria Math" w:hint="eastAsia"/>
        </w:rPr>
        <w:t xml:space="preserve"> = (1, 1) is regarded as a baseline</w:t>
      </w:r>
      <w:r>
        <w:rPr>
          <w:rFonts w:eastAsia="微软雅黑"/>
          <w:szCs w:val="20"/>
        </w:rPr>
        <w:t xml:space="preserve">. </w:t>
      </w:r>
      <w:r>
        <w:rPr>
          <w:rFonts w:eastAsia="微软雅黑" w:hint="eastAsia"/>
          <w:szCs w:val="20"/>
        </w:rPr>
        <w:t xml:space="preserve">Figure </w:t>
      </w:r>
      <w:r w:rsidR="00ED0116">
        <w:rPr>
          <w:rFonts w:eastAsia="微软雅黑"/>
          <w:szCs w:val="20"/>
        </w:rPr>
        <w:t>1</w:t>
      </w:r>
      <w:r>
        <w:rPr>
          <w:rFonts w:eastAsia="微软雅黑" w:hint="eastAsia"/>
          <w:szCs w:val="20"/>
        </w:rPr>
        <w:t xml:space="preserve"> shows the average DL throughput results</w:t>
      </w:r>
      <w:r>
        <w:rPr>
          <w:rFonts w:eastAsia="微软雅黑"/>
          <w:szCs w:val="20"/>
        </w:rPr>
        <w:t>.</w:t>
      </w:r>
      <w:r>
        <w:rPr>
          <w:rFonts w:eastAsia="微软雅黑" w:hint="eastAsia"/>
          <w:szCs w:val="20"/>
        </w:rPr>
        <w:t xml:space="preserve"> </w:t>
      </w:r>
      <w:r>
        <w:rPr>
          <w:rFonts w:eastAsia="微软雅黑"/>
          <w:szCs w:val="20"/>
        </w:rPr>
        <w:t xml:space="preserve">It </w:t>
      </w:r>
      <w:r>
        <w:rPr>
          <w:rFonts w:eastAsia="微软雅黑" w:hint="eastAsia"/>
          <w:szCs w:val="20"/>
        </w:rPr>
        <w:t>is</w:t>
      </w:r>
      <w:r>
        <w:rPr>
          <w:rFonts w:eastAsia="微软雅黑"/>
          <w:szCs w:val="20"/>
        </w:rPr>
        <w:t xml:space="preserve"> observed that </w:t>
      </w:r>
      <m:oMath>
        <m:d>
          <m:dPr>
            <m:ctrlPr>
              <w:rPr>
                <w:rFonts w:ascii="Cambria Math" w:hAnsi="Cambria Math"/>
              </w:rPr>
            </m:ctrlPr>
          </m:dPr>
          <m:e>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O</m:t>
                </m:r>
              </m:e>
              <m:sub>
                <m:r>
                  <w:rPr>
                    <w:rFonts w:ascii="Cambria Math" w:hAnsi="Cambria Math"/>
                  </w:rPr>
                  <m:t>2</m:t>
                </m:r>
              </m:sub>
            </m:sSub>
          </m:e>
        </m:d>
      </m:oMath>
      <w:r>
        <w:rPr>
          <w:rFonts w:hAnsi="Cambria Math" w:hint="eastAsia"/>
        </w:rPr>
        <w:t xml:space="preserve"> = (2, 2)</w:t>
      </w:r>
      <w:r>
        <w:rPr>
          <w:rFonts w:eastAsia="微软雅黑" w:hint="eastAsia"/>
          <w:szCs w:val="20"/>
        </w:rPr>
        <w:t xml:space="preserve"> and </w:t>
      </w:r>
      <m:oMath>
        <m:d>
          <m:dPr>
            <m:ctrlPr>
              <w:rPr>
                <w:rFonts w:ascii="Cambria Math" w:hAnsi="Cambria Math"/>
              </w:rPr>
            </m:ctrlPr>
          </m:dPr>
          <m:e>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O</m:t>
                </m:r>
              </m:e>
              <m:sub>
                <m:r>
                  <w:rPr>
                    <w:rFonts w:ascii="Cambria Math" w:hAnsi="Cambria Math"/>
                  </w:rPr>
                  <m:t>2</m:t>
                </m:r>
              </m:sub>
            </m:sSub>
          </m:e>
        </m:d>
      </m:oMath>
      <w:r>
        <w:rPr>
          <w:rFonts w:hAnsi="Cambria Math" w:hint="eastAsia"/>
        </w:rPr>
        <w:t xml:space="preserve"> = (4, 4)</w:t>
      </w:r>
      <w:r>
        <w:rPr>
          <w:rFonts w:eastAsia="微软雅黑"/>
          <w:szCs w:val="20"/>
        </w:rPr>
        <w:t xml:space="preserve"> </w:t>
      </w:r>
      <w:r>
        <w:rPr>
          <w:rFonts w:hint="eastAsia"/>
        </w:rPr>
        <w:t>can provide</w:t>
      </w:r>
      <w:r>
        <w:rPr>
          <w:rFonts w:eastAsia="微软雅黑"/>
          <w:szCs w:val="20"/>
        </w:rPr>
        <w:t xml:space="preserve"> </w:t>
      </w:r>
      <w:r>
        <w:rPr>
          <w:rFonts w:eastAsia="微软雅黑" w:hint="eastAsia"/>
          <w:szCs w:val="20"/>
        </w:rPr>
        <w:t xml:space="preserve">similar performance, especially when the number of antenna ports </w:t>
      </w:r>
      <w:r w:rsidR="00ED0116">
        <w:rPr>
          <w:rFonts w:eastAsia="微软雅黑"/>
          <w:szCs w:val="20"/>
        </w:rPr>
        <w:t>is</w:t>
      </w:r>
      <w:r w:rsidR="00ED0116">
        <w:rPr>
          <w:rFonts w:eastAsia="微软雅黑" w:hint="eastAsia"/>
          <w:szCs w:val="20"/>
        </w:rPr>
        <w:t xml:space="preserve"> </w:t>
      </w:r>
      <w:r>
        <w:rPr>
          <w:rFonts w:eastAsia="微软雅黑" w:hint="eastAsia"/>
          <w:szCs w:val="20"/>
        </w:rPr>
        <w:t>larger</w:t>
      </w:r>
      <w:r>
        <w:rPr>
          <w:rFonts w:hint="eastAsia"/>
        </w:rPr>
        <w:t xml:space="preserve">. Considering lower reporting overhead and </w:t>
      </w:r>
      <w:r w:rsidR="006660C9">
        <w:t xml:space="preserve">distinct </w:t>
      </w:r>
      <w:r>
        <w:rPr>
          <w:rFonts w:hint="eastAsia"/>
        </w:rPr>
        <w:t xml:space="preserve">computation complexity </w:t>
      </w:r>
      <w:r w:rsidR="006660C9">
        <w:t xml:space="preserve">reduction </w:t>
      </w:r>
      <w:r>
        <w:rPr>
          <w:rFonts w:hint="eastAsia"/>
        </w:rPr>
        <w:t>at UE side, (</w:t>
      </w:r>
      <w:r>
        <w:rPr>
          <w:i/>
          <w:iCs/>
        </w:rPr>
        <w:t>O</w:t>
      </w:r>
      <w:r>
        <w:rPr>
          <w:i/>
          <w:iCs/>
          <w:vertAlign w:val="subscript"/>
        </w:rPr>
        <w:t>1</w:t>
      </w:r>
      <w:r>
        <w:rPr>
          <w:i/>
          <w:iCs/>
        </w:rPr>
        <w:t>, O</w:t>
      </w:r>
      <w:r>
        <w:rPr>
          <w:i/>
          <w:iCs/>
          <w:vertAlign w:val="subscript"/>
        </w:rPr>
        <w:t>2</w:t>
      </w:r>
      <w:r>
        <w:rPr>
          <w:rFonts w:hint="eastAsia"/>
        </w:rPr>
        <w:t>) = (2, 2)</w:t>
      </w:r>
      <w:r w:rsidR="00ED0116">
        <w:t xml:space="preserve"> should be supported</w:t>
      </w:r>
      <w:r>
        <w:rPr>
          <w:rFonts w:hint="eastAsia"/>
        </w:rPr>
        <w:t>.</w:t>
      </w:r>
    </w:p>
    <w:p w:rsidR="009B70BD" w:rsidRDefault="0051047F">
      <w:pPr>
        <w:snapToGrid w:val="0"/>
        <w:spacing w:beforeLines="30" w:before="72" w:afterLines="30" w:after="72" w:line="300" w:lineRule="auto"/>
        <w:jc w:val="center"/>
        <w:textAlignment w:val="center"/>
        <w:rPr>
          <w:b/>
          <w:bCs/>
        </w:rPr>
      </w:pPr>
      <w:r>
        <w:rPr>
          <w:noProof/>
        </w:rPr>
        <w:drawing>
          <wp:inline distT="0" distB="0" distL="114300" distR="114300">
            <wp:extent cx="3496310" cy="1841500"/>
            <wp:effectExtent l="0" t="0" r="8890" b="6350"/>
            <wp:docPr id="13"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B70BD" w:rsidRDefault="0051047F">
      <w:pPr>
        <w:snapToGrid w:val="0"/>
        <w:spacing w:beforeLines="30" w:before="72" w:afterLines="30" w:after="72" w:line="300" w:lineRule="auto"/>
        <w:jc w:val="center"/>
        <w:textAlignment w:val="center"/>
      </w:pPr>
      <w:r>
        <w:rPr>
          <w:rFonts w:hint="eastAsia"/>
          <w:b/>
          <w:bCs/>
        </w:rPr>
        <w:t xml:space="preserve">Figure </w:t>
      </w:r>
      <w:r w:rsidR="00ED0116">
        <w:rPr>
          <w:b/>
          <w:bCs/>
        </w:rPr>
        <w:t>1</w:t>
      </w:r>
      <w:r>
        <w:rPr>
          <w:rFonts w:hint="eastAsia"/>
        </w:rPr>
        <w:t xml:space="preserve"> DL throughput gain (Type-I) in SU-MIMO scenario with 1, </w:t>
      </w:r>
      <w:r>
        <w:t>2- and 4-time</w:t>
      </w:r>
      <w:r>
        <w:rPr>
          <w:rFonts w:hint="eastAsia"/>
        </w:rPr>
        <w:t xml:space="preserve"> oversampling</w:t>
      </w:r>
    </w:p>
    <w:p w:rsidR="009B70BD" w:rsidRDefault="0051047F">
      <w:pPr>
        <w:snapToGrid w:val="0"/>
        <w:spacing w:beforeLines="30" w:before="72" w:afterLines="30" w:after="72" w:line="300" w:lineRule="auto"/>
        <w:rPr>
          <w:b/>
          <w:i/>
        </w:rPr>
      </w:pPr>
      <w:r>
        <w:rPr>
          <w:rFonts w:hint="eastAsia"/>
          <w:b/>
          <w:i/>
        </w:rPr>
        <w:t>O</w:t>
      </w:r>
      <w:r>
        <w:rPr>
          <w:b/>
          <w:i/>
        </w:rPr>
        <w:t xml:space="preserve">bservation </w:t>
      </w:r>
      <w:r w:rsidR="001E16BA">
        <w:rPr>
          <w:b/>
          <w:i/>
        </w:rPr>
        <w:t>1</w:t>
      </w:r>
      <w:r>
        <w:rPr>
          <w:b/>
          <w:i/>
        </w:rPr>
        <w:t xml:space="preserve">: </w:t>
      </w:r>
      <w:r>
        <w:rPr>
          <w:i/>
        </w:rPr>
        <w:t xml:space="preserve">When the number of antenna port P &gt; 32, </w:t>
      </w:r>
      <w:r>
        <w:rPr>
          <w:rFonts w:hint="eastAsia"/>
          <w:bCs/>
          <w:i/>
          <w:iCs/>
        </w:rPr>
        <w:t>(O</w:t>
      </w:r>
      <w:r>
        <w:rPr>
          <w:bCs/>
          <w:i/>
          <w:iCs/>
          <w:vertAlign w:val="subscript"/>
        </w:rPr>
        <w:t>1</w:t>
      </w:r>
      <w:r>
        <w:rPr>
          <w:rFonts w:hint="eastAsia"/>
          <w:bCs/>
          <w:i/>
          <w:iCs/>
        </w:rPr>
        <w:t>, O</w:t>
      </w:r>
      <w:r>
        <w:rPr>
          <w:bCs/>
          <w:i/>
          <w:iCs/>
          <w:vertAlign w:val="subscript"/>
        </w:rPr>
        <w:t>2</w:t>
      </w:r>
      <w:r>
        <w:rPr>
          <w:rFonts w:hint="eastAsia"/>
          <w:bCs/>
          <w:i/>
          <w:iCs/>
        </w:rPr>
        <w:t>) = (2, 2)</w:t>
      </w:r>
      <w:r>
        <w:rPr>
          <w:bCs/>
          <w:i/>
          <w:iCs/>
        </w:rPr>
        <w:t xml:space="preserve"> can provide similar performance as </w:t>
      </w:r>
      <w:r>
        <w:rPr>
          <w:rFonts w:hint="eastAsia"/>
          <w:bCs/>
          <w:i/>
          <w:iCs/>
        </w:rPr>
        <w:t>(O</w:t>
      </w:r>
      <w:r>
        <w:rPr>
          <w:bCs/>
          <w:i/>
          <w:iCs/>
          <w:vertAlign w:val="subscript"/>
        </w:rPr>
        <w:t>1</w:t>
      </w:r>
      <w:r>
        <w:rPr>
          <w:rFonts w:hint="eastAsia"/>
          <w:bCs/>
          <w:i/>
          <w:iCs/>
        </w:rPr>
        <w:t>, O</w:t>
      </w:r>
      <w:r>
        <w:rPr>
          <w:bCs/>
          <w:iCs/>
          <w:vertAlign w:val="subscript"/>
        </w:rPr>
        <w:t>2</w:t>
      </w:r>
      <w:r>
        <w:rPr>
          <w:rFonts w:hint="eastAsia"/>
          <w:bCs/>
          <w:i/>
          <w:iCs/>
        </w:rPr>
        <w:t>) = (</w:t>
      </w:r>
      <w:r>
        <w:rPr>
          <w:bCs/>
          <w:i/>
          <w:iCs/>
        </w:rPr>
        <w:t>4</w:t>
      </w:r>
      <w:r>
        <w:rPr>
          <w:rFonts w:hint="eastAsia"/>
          <w:bCs/>
          <w:i/>
          <w:iCs/>
        </w:rPr>
        <w:t xml:space="preserve">, </w:t>
      </w:r>
      <w:r>
        <w:rPr>
          <w:bCs/>
          <w:i/>
          <w:iCs/>
        </w:rPr>
        <w:t>4</w:t>
      </w:r>
      <w:r>
        <w:rPr>
          <w:rFonts w:hint="eastAsia"/>
          <w:bCs/>
          <w:i/>
          <w:iCs/>
        </w:rPr>
        <w:t>)</w:t>
      </w:r>
      <w:r>
        <w:rPr>
          <w:bCs/>
          <w:i/>
          <w:iCs/>
        </w:rPr>
        <w:t xml:space="preserve">, but with lower reporting overhead and </w:t>
      </w:r>
      <w:r w:rsidR="006660C9">
        <w:rPr>
          <w:rFonts w:hint="eastAsia"/>
          <w:bCs/>
          <w:i/>
          <w:iCs/>
        </w:rPr>
        <w:t>s</w:t>
      </w:r>
      <w:r w:rsidR="006660C9">
        <w:rPr>
          <w:bCs/>
          <w:i/>
          <w:iCs/>
        </w:rPr>
        <w:t xml:space="preserve">ignificant </w:t>
      </w:r>
      <w:r>
        <w:rPr>
          <w:bCs/>
          <w:i/>
          <w:iCs/>
        </w:rPr>
        <w:t>implementation complexity</w:t>
      </w:r>
      <w:r w:rsidR="006660C9">
        <w:rPr>
          <w:bCs/>
          <w:i/>
          <w:iCs/>
        </w:rPr>
        <w:t xml:space="preserve"> reduction</w:t>
      </w:r>
      <w:r>
        <w:rPr>
          <w:bCs/>
          <w:i/>
          <w:iCs/>
        </w:rPr>
        <w:t>.</w:t>
      </w:r>
    </w:p>
    <w:p w:rsidR="009B70BD" w:rsidRDefault="0051047F">
      <w:pPr>
        <w:snapToGrid w:val="0"/>
        <w:spacing w:beforeLines="30" w:before="72" w:afterLines="30" w:after="72" w:line="300" w:lineRule="auto"/>
        <w:rPr>
          <w:bCs/>
          <w:sz w:val="21"/>
          <w:szCs w:val="21"/>
        </w:rPr>
      </w:pPr>
      <w:r>
        <w:rPr>
          <w:b/>
          <w:i/>
        </w:rPr>
        <w:t xml:space="preserve">Proposal </w:t>
      </w:r>
      <w:r w:rsidR="001E16BA">
        <w:rPr>
          <w:b/>
          <w:i/>
        </w:rPr>
        <w:t>5</w:t>
      </w:r>
      <w:r>
        <w:rPr>
          <w:rFonts w:hint="eastAsia"/>
          <w:b/>
          <w:i/>
        </w:rPr>
        <w:t xml:space="preserve">: </w:t>
      </w:r>
      <w:r>
        <w:rPr>
          <w:rFonts w:hint="eastAsia"/>
          <w:bCs/>
          <w:i/>
          <w:iCs/>
        </w:rPr>
        <w:t>Regarding Rel-19 Type-I and Type-II codebook refinement, support (O</w:t>
      </w:r>
      <w:r w:rsidRPr="002A74A3">
        <w:rPr>
          <w:bCs/>
          <w:i/>
          <w:iCs/>
          <w:vertAlign w:val="subscript"/>
        </w:rPr>
        <w:t>1</w:t>
      </w:r>
      <w:r>
        <w:rPr>
          <w:rFonts w:hint="eastAsia"/>
          <w:bCs/>
          <w:i/>
          <w:iCs/>
        </w:rPr>
        <w:t>, O</w:t>
      </w:r>
      <w:r w:rsidRPr="002A74A3">
        <w:rPr>
          <w:bCs/>
          <w:i/>
          <w:iCs/>
          <w:vertAlign w:val="subscript"/>
        </w:rPr>
        <w:t>2</w:t>
      </w:r>
      <w:r>
        <w:rPr>
          <w:rFonts w:hint="eastAsia"/>
          <w:bCs/>
          <w:i/>
          <w:iCs/>
        </w:rPr>
        <w:t xml:space="preserve">) = (2, 2) </w:t>
      </w:r>
      <w:r>
        <w:rPr>
          <w:bCs/>
          <w:i/>
          <w:iCs/>
        </w:rPr>
        <w:t>for P &gt; 32</w:t>
      </w:r>
      <w:r>
        <w:rPr>
          <w:rFonts w:hint="eastAsia"/>
          <w:i/>
        </w:rPr>
        <w:t>.</w:t>
      </w:r>
    </w:p>
    <w:p w:rsidR="009B70BD" w:rsidRDefault="0051047F">
      <w:pPr>
        <w:numPr>
          <w:ilvl w:val="1"/>
          <w:numId w:val="8"/>
        </w:numPr>
        <w:tabs>
          <w:tab w:val="clear" w:pos="576"/>
        </w:tabs>
        <w:snapToGrid w:val="0"/>
        <w:spacing w:before="240" w:afterLines="50" w:after="120" w:line="240" w:lineRule="auto"/>
        <w:ind w:left="567" w:hanging="567"/>
        <w:outlineLvl w:val="1"/>
        <w:rPr>
          <w:b/>
          <w:sz w:val="24"/>
          <w:szCs w:val="20"/>
        </w:rPr>
      </w:pPr>
      <w:r>
        <w:rPr>
          <w:rFonts w:hint="eastAsia"/>
          <w:b/>
          <w:sz w:val="24"/>
          <w:szCs w:val="20"/>
        </w:rPr>
        <w:t>Type-I codebook refinement</w:t>
      </w:r>
    </w:p>
    <w:p w:rsidR="009B70BD" w:rsidRDefault="0051047F" w:rsidP="009B70BD">
      <w:pPr>
        <w:snapToGrid w:val="0"/>
        <w:spacing w:beforeLines="50" w:before="120" w:afterLines="50" w:after="120" w:line="300" w:lineRule="auto"/>
        <w:outlineLvl w:val="2"/>
        <w:rPr>
          <w:b/>
          <w:bCs/>
          <w:sz w:val="21"/>
          <w:szCs w:val="21"/>
        </w:rPr>
      </w:pPr>
      <w:r>
        <w:rPr>
          <w:b/>
          <w:bCs/>
          <w:sz w:val="21"/>
          <w:szCs w:val="21"/>
        </w:rPr>
        <w:t>2.2.1 Type-I refinement for RI = 1-4</w:t>
      </w:r>
    </w:p>
    <w:p w:rsidR="00EE14B2" w:rsidRDefault="00EE14B2" w:rsidP="00EE14B2">
      <w:pPr>
        <w:snapToGrid w:val="0"/>
        <w:spacing w:beforeLines="50" w:before="120" w:afterLines="50" w:after="120" w:line="300" w:lineRule="auto"/>
        <w:rPr>
          <w:bCs/>
          <w:kern w:val="2"/>
          <w:szCs w:val="20"/>
        </w:rPr>
      </w:pPr>
      <w:r>
        <w:rPr>
          <w:rFonts w:hint="eastAsia"/>
          <w:bCs/>
          <w:kern w:val="2"/>
          <w:szCs w:val="20"/>
        </w:rPr>
        <w:t>In RAN1#116</w:t>
      </w:r>
      <w:r w:rsidR="00360F7E">
        <w:rPr>
          <w:bCs/>
          <w:kern w:val="2"/>
          <w:szCs w:val="20"/>
        </w:rPr>
        <w:t xml:space="preserve"> meeting</w:t>
      </w:r>
      <w:r>
        <w:rPr>
          <w:rFonts w:hint="eastAsia"/>
          <w:bCs/>
          <w:kern w:val="2"/>
          <w:szCs w:val="20"/>
        </w:rPr>
        <w:t>, the following candidate schemes for SP Type-I codebook refinement for up to 128 CSI-RS ports, at least for RI=1-4, were discussed</w:t>
      </w:r>
      <w:r w:rsidR="00756A18">
        <w:rPr>
          <w:bCs/>
          <w:kern w:val="2"/>
          <w:szCs w:val="20"/>
        </w:rPr>
        <w:t>.</w:t>
      </w:r>
    </w:p>
    <w:p w:rsidR="00B91E49" w:rsidRPr="00EE14B2" w:rsidRDefault="00B91E49" w:rsidP="002A74A3">
      <w:pPr>
        <w:snapToGrid w:val="0"/>
        <w:spacing w:beforeLines="50" w:before="120" w:afterLines="50" w:after="120" w:line="300" w:lineRule="auto"/>
        <w:rPr>
          <w:b/>
          <w:bCs/>
          <w:sz w:val="21"/>
          <w:szCs w:val="21"/>
        </w:rPr>
      </w:pPr>
    </w:p>
    <w:tbl>
      <w:tblPr>
        <w:tblStyle w:val="af9"/>
        <w:tblW w:w="0" w:type="auto"/>
        <w:tblLook w:val="04A0" w:firstRow="1" w:lastRow="0" w:firstColumn="1" w:lastColumn="0" w:noHBand="0" w:noVBand="1"/>
      </w:tblPr>
      <w:tblGrid>
        <w:gridCol w:w="9350"/>
      </w:tblGrid>
      <w:tr w:rsidR="00B91E49" w:rsidTr="002A74A3">
        <w:tc>
          <w:tcPr>
            <w:tcW w:w="9350" w:type="dxa"/>
            <w:shd w:val="clear" w:color="auto" w:fill="FFFFFF" w:themeFill="background1"/>
          </w:tcPr>
          <w:p w:rsidR="00B91E49" w:rsidRDefault="00B91E49" w:rsidP="00B91E49">
            <w:pPr>
              <w:widowControl w:val="0"/>
              <w:snapToGrid w:val="0"/>
              <w:spacing w:after="0" w:line="300" w:lineRule="auto"/>
              <w:rPr>
                <w:rFonts w:eastAsia="等线"/>
                <w:szCs w:val="20"/>
                <w:highlight w:val="green"/>
              </w:rPr>
            </w:pPr>
            <w:r>
              <w:rPr>
                <w:b/>
                <w:szCs w:val="20"/>
                <w:u w:val="single"/>
              </w:rPr>
              <w:t>Agreement (RAN1#116)</w:t>
            </w:r>
          </w:p>
          <w:p w:rsidR="00B91E49" w:rsidRDefault="00B91E49" w:rsidP="00B91E49">
            <w:pPr>
              <w:snapToGrid w:val="0"/>
              <w:spacing w:after="0" w:line="300" w:lineRule="auto"/>
              <w:rPr>
                <w:rFonts w:eastAsia="Batang"/>
                <w:iCs/>
                <w:szCs w:val="20"/>
                <w:lang w:val="en-GB" w:eastAsia="en-US"/>
              </w:rPr>
            </w:pPr>
            <w:r>
              <w:rPr>
                <w:rFonts w:eastAsia="Batang"/>
                <w:iCs/>
                <w:szCs w:val="20"/>
                <w:lang w:val="en-GB" w:eastAsia="en-US"/>
              </w:rPr>
              <w:t>For the Rel-19 Type-I codebook refinement for up to 128 CSI-RS ports, at least for RI=1-4, study and decide, by RAN1#116bis, from the following:</w:t>
            </w:r>
          </w:p>
          <w:p w:rsidR="00B91E49" w:rsidRDefault="00B91E49" w:rsidP="00B91E49">
            <w:pPr>
              <w:widowControl w:val="0"/>
              <w:numPr>
                <w:ilvl w:val="0"/>
                <w:numId w:val="11"/>
              </w:numPr>
              <w:snapToGrid w:val="0"/>
              <w:spacing w:after="0" w:line="300" w:lineRule="auto"/>
              <w:rPr>
                <w:rFonts w:eastAsia="Batang"/>
                <w:szCs w:val="20"/>
                <w:lang w:val="en-GB" w:eastAsia="en-US"/>
              </w:rPr>
            </w:pPr>
            <w:r>
              <w:rPr>
                <w:rFonts w:eastAsia="Batang"/>
                <w:szCs w:val="20"/>
                <w:lang w:val="en-GB" w:eastAsia="en-US"/>
              </w:rPr>
              <w:t>Scheme1 (baseline): Adding new (N</w:t>
            </w:r>
            <w:r>
              <w:rPr>
                <w:rFonts w:eastAsia="Batang"/>
                <w:szCs w:val="20"/>
                <w:vertAlign w:val="subscript"/>
                <w:lang w:val="en-GB" w:eastAsia="en-US"/>
              </w:rPr>
              <w:t>1</w:t>
            </w:r>
            <w:r>
              <w:rPr>
                <w:rFonts w:eastAsia="Batang"/>
                <w:szCs w:val="20"/>
                <w:lang w:val="en-GB" w:eastAsia="en-US"/>
              </w:rPr>
              <w:t>, N</w:t>
            </w:r>
            <w:r>
              <w:rPr>
                <w:rFonts w:eastAsia="Batang"/>
                <w:szCs w:val="20"/>
                <w:vertAlign w:val="subscript"/>
                <w:lang w:val="en-GB" w:eastAsia="en-US"/>
              </w:rPr>
              <w:t>2</w:t>
            </w:r>
            <w:r>
              <w:rPr>
                <w:rFonts w:eastAsia="Batang"/>
                <w:szCs w:val="20"/>
                <w:lang w:val="en-GB" w:eastAsia="en-US"/>
              </w:rPr>
              <w:t>) values for the Rel-15 Type-I single-panel codebook where 2N</w:t>
            </w:r>
            <w:r>
              <w:rPr>
                <w:rFonts w:eastAsia="Batang"/>
                <w:szCs w:val="20"/>
                <w:vertAlign w:val="subscript"/>
                <w:lang w:val="en-GB" w:eastAsia="en-US"/>
              </w:rPr>
              <w:t>1</w:t>
            </w:r>
            <w:r>
              <w:rPr>
                <w:rFonts w:eastAsia="Batang"/>
                <w:szCs w:val="20"/>
                <w:lang w:val="en-GB" w:eastAsia="en-US"/>
              </w:rPr>
              <w:t>N</w:t>
            </w:r>
            <w:r>
              <w:rPr>
                <w:rFonts w:eastAsia="Batang"/>
                <w:szCs w:val="20"/>
                <w:vertAlign w:val="subscript"/>
                <w:lang w:val="en-GB" w:eastAsia="en-US"/>
              </w:rPr>
              <w:t>2</w:t>
            </w:r>
            <w:r>
              <w:rPr>
                <w:rFonts w:eastAsia="Batang"/>
                <w:szCs w:val="20"/>
                <w:lang w:val="en-GB" w:eastAsia="en-US"/>
              </w:rPr>
              <w:t xml:space="preserve"> (&gt;32) is the total number of CSI-RS ports across aggregated NZP CSI-RS resources</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 xml:space="preserve">FFS: Whether to further down-select between mode-1 (L=1) and mode-2 (L=4) </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FFS: For rank-3/4, follow legacy mechanisms for &lt;16 ports, or for &gt;=16 ports</w:t>
            </w:r>
          </w:p>
          <w:p w:rsidR="00B91E49" w:rsidRDefault="00B91E49" w:rsidP="00B91E49">
            <w:pPr>
              <w:widowControl w:val="0"/>
              <w:numPr>
                <w:ilvl w:val="0"/>
                <w:numId w:val="11"/>
              </w:numPr>
              <w:snapToGrid w:val="0"/>
              <w:spacing w:after="0" w:line="300" w:lineRule="auto"/>
              <w:rPr>
                <w:rFonts w:eastAsia="Batang"/>
                <w:szCs w:val="20"/>
                <w:lang w:val="en-GB" w:eastAsia="en-US"/>
              </w:rPr>
            </w:pPr>
            <w:r>
              <w:rPr>
                <w:rFonts w:eastAsia="Batang"/>
                <w:szCs w:val="20"/>
                <w:lang w:val="en-GB" w:eastAsia="en-US"/>
              </w:rPr>
              <w:t>Scheme2: Adding new (N</w:t>
            </w:r>
            <w:r>
              <w:rPr>
                <w:rFonts w:eastAsia="Batang"/>
                <w:szCs w:val="20"/>
                <w:vertAlign w:val="subscript"/>
                <w:lang w:val="en-GB" w:eastAsia="en-US"/>
              </w:rPr>
              <w:t>1</w:t>
            </w:r>
            <w:r>
              <w:rPr>
                <w:rFonts w:eastAsia="Batang"/>
                <w:szCs w:val="20"/>
                <w:lang w:val="en-GB" w:eastAsia="en-US"/>
              </w:rPr>
              <w:t>, N</w:t>
            </w:r>
            <w:r>
              <w:rPr>
                <w:rFonts w:eastAsia="Batang"/>
                <w:szCs w:val="20"/>
                <w:vertAlign w:val="subscript"/>
                <w:lang w:val="en-GB" w:eastAsia="en-US"/>
              </w:rPr>
              <w:t>2</w:t>
            </w:r>
            <w:r>
              <w:rPr>
                <w:rFonts w:eastAsia="Batang"/>
                <w:szCs w:val="20"/>
                <w:lang w:val="en-GB" w:eastAsia="en-US"/>
              </w:rPr>
              <w:t>) values where 2N</w:t>
            </w:r>
            <w:r>
              <w:rPr>
                <w:rFonts w:eastAsia="Batang"/>
                <w:szCs w:val="20"/>
                <w:vertAlign w:val="subscript"/>
                <w:lang w:val="en-GB" w:eastAsia="en-US"/>
              </w:rPr>
              <w:t>1</w:t>
            </w:r>
            <w:r>
              <w:rPr>
                <w:rFonts w:eastAsia="Batang"/>
                <w:szCs w:val="20"/>
                <w:lang w:val="en-GB" w:eastAsia="en-US"/>
              </w:rPr>
              <w:t>N</w:t>
            </w:r>
            <w:r>
              <w:rPr>
                <w:rFonts w:eastAsia="Batang"/>
                <w:szCs w:val="20"/>
                <w:vertAlign w:val="subscript"/>
                <w:lang w:val="en-GB" w:eastAsia="en-US"/>
              </w:rPr>
              <w:t>2</w:t>
            </w:r>
            <w:r>
              <w:rPr>
                <w:rFonts w:eastAsia="Batang"/>
                <w:szCs w:val="20"/>
                <w:lang w:val="en-GB" w:eastAsia="en-US"/>
              </w:rPr>
              <w:t xml:space="preserve"> (&gt;32) is the total number of CSI-RS ports across aggregated NZP CSI-RS resources, and</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W</w:t>
            </w:r>
            <w:r>
              <w:rPr>
                <w:rFonts w:eastAsia="Batang"/>
                <w:szCs w:val="20"/>
                <w:vertAlign w:val="subscript"/>
                <w:lang w:val="en-GB" w:eastAsia="en-US"/>
              </w:rPr>
              <w:t>1</w:t>
            </w:r>
            <w:r>
              <w:rPr>
                <w:rFonts w:eastAsia="Batang"/>
                <w:szCs w:val="20"/>
                <w:lang w:val="en-GB" w:eastAsia="en-US"/>
              </w:rPr>
              <w:t xml:space="preserve"> structure: </w:t>
            </w:r>
          </w:p>
          <w:p w:rsidR="00B91E49" w:rsidRDefault="00B91E49" w:rsidP="00B91E49">
            <w:pPr>
              <w:widowControl w:val="0"/>
              <w:numPr>
                <w:ilvl w:val="2"/>
                <w:numId w:val="11"/>
              </w:numPr>
              <w:snapToGrid w:val="0"/>
              <w:spacing w:after="0" w:line="300" w:lineRule="auto"/>
              <w:rPr>
                <w:rFonts w:eastAsia="Batang"/>
                <w:szCs w:val="20"/>
                <w:lang w:val="en-GB" w:eastAsia="en-US"/>
              </w:rPr>
            </w:pPr>
            <w:r>
              <w:rPr>
                <w:rFonts w:eastAsia="Batang"/>
                <w:szCs w:val="20"/>
                <w:lang w:val="en-GB" w:eastAsia="en-US"/>
              </w:rPr>
              <w:t xml:space="preserve">For each layer, reuse legacy Rel-16 </w:t>
            </w:r>
            <w:proofErr w:type="spellStart"/>
            <w:r>
              <w:rPr>
                <w:rFonts w:eastAsia="Batang"/>
                <w:szCs w:val="20"/>
                <w:lang w:val="en-GB" w:eastAsia="en-US"/>
              </w:rPr>
              <w:t>eType</w:t>
            </w:r>
            <w:proofErr w:type="spellEnd"/>
            <w:r>
              <w:rPr>
                <w:rFonts w:eastAsia="Batang"/>
                <w:szCs w:val="20"/>
                <w:lang w:val="en-GB" w:eastAsia="en-US"/>
              </w:rPr>
              <w:t>-II SD basis with L=1 to determine the DFT-based SD basis candidates</w:t>
            </w:r>
          </w:p>
          <w:p w:rsidR="00B91E49" w:rsidRDefault="00B91E49" w:rsidP="00B91E49">
            <w:pPr>
              <w:widowControl w:val="0"/>
              <w:numPr>
                <w:ilvl w:val="3"/>
                <w:numId w:val="11"/>
              </w:numPr>
              <w:snapToGrid w:val="0"/>
              <w:spacing w:after="0" w:line="300" w:lineRule="auto"/>
              <w:rPr>
                <w:rFonts w:eastAsia="Batang"/>
                <w:szCs w:val="20"/>
                <w:lang w:val="en-GB" w:eastAsia="en-US"/>
              </w:rPr>
            </w:pPr>
            <w:r>
              <w:rPr>
                <w:rFonts w:eastAsia="Malgun Gothic"/>
                <w:szCs w:val="20"/>
                <w:lang w:val="en-GB"/>
              </w:rPr>
              <w:t xml:space="preserve">FFS: Whether the indication of selected SD basis indices follows Rel-16 </w:t>
            </w:r>
            <w:proofErr w:type="spellStart"/>
            <w:r>
              <w:rPr>
                <w:rFonts w:eastAsia="Malgun Gothic"/>
                <w:szCs w:val="20"/>
                <w:lang w:val="en-GB"/>
              </w:rPr>
              <w:t>eType</w:t>
            </w:r>
            <w:proofErr w:type="spellEnd"/>
            <w:r>
              <w:rPr>
                <w:rFonts w:eastAsia="Malgun Gothic"/>
                <w:szCs w:val="20"/>
                <w:lang w:val="en-GB"/>
              </w:rPr>
              <w:t xml:space="preserve"> II or Rel-15 Type I</w:t>
            </w:r>
          </w:p>
          <w:p w:rsidR="00B91E49" w:rsidRDefault="00B91E49" w:rsidP="00B91E49">
            <w:pPr>
              <w:widowControl w:val="0"/>
              <w:numPr>
                <w:ilvl w:val="2"/>
                <w:numId w:val="11"/>
              </w:numPr>
              <w:snapToGrid w:val="0"/>
              <w:spacing w:after="0" w:line="300" w:lineRule="auto"/>
              <w:rPr>
                <w:rFonts w:eastAsia="Batang"/>
                <w:szCs w:val="20"/>
                <w:lang w:val="en-GB" w:eastAsia="en-US"/>
              </w:rPr>
            </w:pPr>
            <w:r>
              <w:rPr>
                <w:rFonts w:eastAsia="Batang"/>
                <w:szCs w:val="20"/>
                <w:lang w:val="en-GB" w:eastAsia="en-US"/>
              </w:rPr>
              <w:t>For 4≥RI&gt;1, L=1 SD basis vector is independently selected for different layers</w:t>
            </w:r>
          </w:p>
          <w:p w:rsidR="00B91E49" w:rsidRDefault="00B91E49" w:rsidP="00B91E49">
            <w:pPr>
              <w:widowControl w:val="0"/>
              <w:numPr>
                <w:ilvl w:val="3"/>
                <w:numId w:val="11"/>
              </w:numPr>
              <w:snapToGrid w:val="0"/>
              <w:spacing w:after="0" w:line="300" w:lineRule="auto"/>
              <w:rPr>
                <w:rFonts w:eastAsia="Batang"/>
                <w:color w:val="FF0000"/>
                <w:szCs w:val="20"/>
                <w:lang w:val="en-GB" w:eastAsia="en-US"/>
              </w:rPr>
            </w:pPr>
            <w:r>
              <w:rPr>
                <w:rFonts w:eastAsia="Malgun Gothic"/>
                <w:color w:val="FF0000"/>
                <w:szCs w:val="20"/>
                <w:lang w:val="en-GB"/>
              </w:rPr>
              <w:t>FFS: SD basis selection restriction to reduce SD overhead for RI&gt;4</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W</w:t>
            </w:r>
            <w:r>
              <w:rPr>
                <w:rFonts w:eastAsia="Batang"/>
                <w:szCs w:val="20"/>
                <w:vertAlign w:val="subscript"/>
                <w:lang w:val="en-GB" w:eastAsia="en-US"/>
              </w:rPr>
              <w:t>2</w:t>
            </w:r>
            <w:r>
              <w:rPr>
                <w:rFonts w:eastAsia="Batang"/>
                <w:szCs w:val="20"/>
                <w:lang w:val="en-GB" w:eastAsia="en-US"/>
              </w:rPr>
              <w:t xml:space="preserve"> structure: Layer-specific inter-polarization M-PSK co-phasing where M is further down-selected from {2, 4, 8, 16} </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FFS: Additional support for L&gt;1</w:t>
            </w:r>
          </w:p>
          <w:p w:rsidR="00B91E49" w:rsidRDefault="00B91E49" w:rsidP="00B91E49">
            <w:pPr>
              <w:widowControl w:val="0"/>
              <w:numPr>
                <w:ilvl w:val="0"/>
                <w:numId w:val="11"/>
              </w:numPr>
              <w:snapToGrid w:val="0"/>
              <w:spacing w:after="0" w:line="300" w:lineRule="auto"/>
              <w:rPr>
                <w:rFonts w:eastAsia="Batang"/>
                <w:szCs w:val="20"/>
                <w:lang w:val="en-GB" w:eastAsia="en-US"/>
              </w:rPr>
            </w:pPr>
            <w:r>
              <w:rPr>
                <w:rFonts w:eastAsia="Batang"/>
                <w:szCs w:val="20"/>
                <w:lang w:val="en-GB" w:eastAsia="en-US"/>
              </w:rPr>
              <w:t>Scheme2B: Adding new (N</w:t>
            </w:r>
            <w:r>
              <w:rPr>
                <w:rFonts w:eastAsia="Batang"/>
                <w:szCs w:val="20"/>
                <w:vertAlign w:val="subscript"/>
                <w:lang w:val="en-GB" w:eastAsia="en-US"/>
              </w:rPr>
              <w:t>1</w:t>
            </w:r>
            <w:r>
              <w:rPr>
                <w:rFonts w:eastAsia="Batang"/>
                <w:szCs w:val="20"/>
                <w:lang w:val="en-GB" w:eastAsia="en-US"/>
              </w:rPr>
              <w:t>, N</w:t>
            </w:r>
            <w:r>
              <w:rPr>
                <w:rFonts w:eastAsia="Batang"/>
                <w:szCs w:val="20"/>
                <w:vertAlign w:val="subscript"/>
                <w:lang w:val="en-GB" w:eastAsia="en-US"/>
              </w:rPr>
              <w:t>2</w:t>
            </w:r>
            <w:r>
              <w:rPr>
                <w:rFonts w:eastAsia="Batang"/>
                <w:szCs w:val="20"/>
                <w:lang w:val="en-GB" w:eastAsia="en-US"/>
              </w:rPr>
              <w:t>) values where 2N</w:t>
            </w:r>
            <w:r>
              <w:rPr>
                <w:rFonts w:eastAsia="Batang"/>
                <w:szCs w:val="20"/>
                <w:vertAlign w:val="subscript"/>
                <w:lang w:val="en-GB" w:eastAsia="en-US"/>
              </w:rPr>
              <w:t>1</w:t>
            </w:r>
            <w:r>
              <w:rPr>
                <w:rFonts w:eastAsia="Batang"/>
                <w:szCs w:val="20"/>
                <w:lang w:val="en-GB" w:eastAsia="en-US"/>
              </w:rPr>
              <w:t>N</w:t>
            </w:r>
            <w:r>
              <w:rPr>
                <w:rFonts w:eastAsia="Batang"/>
                <w:szCs w:val="20"/>
                <w:vertAlign w:val="subscript"/>
                <w:lang w:val="en-GB" w:eastAsia="en-US"/>
              </w:rPr>
              <w:t>2</w:t>
            </w:r>
            <w:r>
              <w:rPr>
                <w:rFonts w:eastAsia="Batang"/>
                <w:szCs w:val="20"/>
                <w:lang w:val="en-GB" w:eastAsia="en-US"/>
              </w:rPr>
              <w:t xml:space="preserve"> (&gt;32) is the total number of CSI-RS ports across aggregated NZP CSI-RS resources, and</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W</w:t>
            </w:r>
            <w:r>
              <w:rPr>
                <w:rFonts w:eastAsia="Batang"/>
                <w:szCs w:val="20"/>
                <w:vertAlign w:val="subscript"/>
                <w:lang w:val="en-GB" w:eastAsia="en-US"/>
              </w:rPr>
              <w:t>1</w:t>
            </w:r>
            <w:r>
              <w:rPr>
                <w:rFonts w:eastAsia="Batang"/>
                <w:szCs w:val="20"/>
                <w:lang w:val="en-GB" w:eastAsia="en-US"/>
              </w:rPr>
              <w:t xml:space="preserve"> structure: </w:t>
            </w:r>
          </w:p>
          <w:p w:rsidR="00B91E49" w:rsidRDefault="00B91E49" w:rsidP="00B91E49">
            <w:pPr>
              <w:numPr>
                <w:ilvl w:val="2"/>
                <w:numId w:val="11"/>
              </w:numPr>
              <w:snapToGrid w:val="0"/>
              <w:spacing w:after="0" w:line="300" w:lineRule="auto"/>
              <w:rPr>
                <w:rFonts w:eastAsia="Batang"/>
                <w:sz w:val="16"/>
                <w:szCs w:val="20"/>
                <w:lang w:val="en-GB" w:eastAsia="ko-KR"/>
              </w:rPr>
            </w:pPr>
            <w:r>
              <w:rPr>
                <w:rFonts w:eastAsia="Batang"/>
                <w:szCs w:val="24"/>
                <w:lang w:val="en-GB" w:eastAsia="en-US"/>
              </w:rPr>
              <w:t xml:space="preserve">For each layer, determine L=1 DFT-based SD basis candidate </w:t>
            </w:r>
          </w:p>
          <w:p w:rsidR="00B91E49" w:rsidRDefault="00B91E49" w:rsidP="00B91E49">
            <w:pPr>
              <w:numPr>
                <w:ilvl w:val="3"/>
                <w:numId w:val="11"/>
              </w:numPr>
              <w:snapToGrid w:val="0"/>
              <w:spacing w:after="0" w:line="300" w:lineRule="auto"/>
              <w:rPr>
                <w:rFonts w:eastAsia="Batang"/>
                <w:szCs w:val="20"/>
                <w:lang w:val="en-GB" w:eastAsia="en-US"/>
              </w:rPr>
            </w:pPr>
            <w:r>
              <w:rPr>
                <w:rFonts w:eastAsia="Batang"/>
                <w:szCs w:val="24"/>
                <w:lang w:val="en-GB"/>
              </w:rPr>
              <w:t xml:space="preserve">FFS: Whether the indication of selected SD basis indices follows Rel-16 </w:t>
            </w:r>
            <w:proofErr w:type="spellStart"/>
            <w:r>
              <w:rPr>
                <w:rFonts w:eastAsia="Batang"/>
                <w:szCs w:val="24"/>
                <w:lang w:val="en-GB"/>
              </w:rPr>
              <w:t>eType</w:t>
            </w:r>
            <w:proofErr w:type="spellEnd"/>
            <w:r>
              <w:rPr>
                <w:rFonts w:eastAsia="Batang"/>
                <w:szCs w:val="24"/>
                <w:lang w:val="en-GB"/>
              </w:rPr>
              <w:t>-II or Rel-15 Type-I</w:t>
            </w:r>
          </w:p>
          <w:p w:rsidR="00B91E49" w:rsidRDefault="00B91E49" w:rsidP="00B91E49">
            <w:pPr>
              <w:widowControl w:val="0"/>
              <w:numPr>
                <w:ilvl w:val="2"/>
                <w:numId w:val="11"/>
              </w:numPr>
              <w:snapToGrid w:val="0"/>
              <w:spacing w:after="0" w:line="300" w:lineRule="auto"/>
              <w:rPr>
                <w:rFonts w:eastAsia="Batang"/>
                <w:szCs w:val="20"/>
                <w:lang w:val="en-GB" w:eastAsia="en-US"/>
              </w:rPr>
            </w:pPr>
            <w:r>
              <w:rPr>
                <w:rFonts w:eastAsia="Batang"/>
                <w:szCs w:val="20"/>
                <w:lang w:val="en-GB" w:eastAsia="en-US"/>
              </w:rPr>
              <w:t>For 4≥RI&gt;1, L=1 SD basis vector is independently selected for different layers</w:t>
            </w:r>
          </w:p>
          <w:p w:rsidR="00B91E49" w:rsidRDefault="00B91E49" w:rsidP="00B91E49">
            <w:pPr>
              <w:numPr>
                <w:ilvl w:val="2"/>
                <w:numId w:val="11"/>
              </w:numPr>
              <w:snapToGrid w:val="0"/>
              <w:spacing w:after="0" w:line="300" w:lineRule="auto"/>
              <w:rPr>
                <w:rFonts w:eastAsia="Batang"/>
                <w:sz w:val="16"/>
                <w:szCs w:val="20"/>
                <w:lang w:val="en-GB" w:eastAsia="ko-KR"/>
              </w:rPr>
            </w:pPr>
            <w:r>
              <w:rPr>
                <w:rFonts w:eastAsia="Batang"/>
                <w:color w:val="FF0000"/>
                <w:szCs w:val="24"/>
                <w:lang w:val="en-GB" w:eastAsia="en-US"/>
              </w:rPr>
              <w:t xml:space="preserve">FFS: Common SD vector selection for a pair of layers (reduced total number of bits for SD basis vector selection), </w:t>
            </w:r>
            <w:r>
              <w:rPr>
                <w:rFonts w:eastAsia="Malgun Gothic"/>
                <w:color w:val="FF0000"/>
                <w:szCs w:val="20"/>
                <w:lang w:val="en-GB"/>
              </w:rPr>
              <w:t>SD basis selection restriction to reduce SD overhead for RI&gt;4</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W</w:t>
            </w:r>
            <w:r>
              <w:rPr>
                <w:rFonts w:eastAsia="Batang"/>
                <w:szCs w:val="20"/>
                <w:vertAlign w:val="subscript"/>
                <w:lang w:val="en-GB" w:eastAsia="en-US"/>
              </w:rPr>
              <w:t>2</w:t>
            </w:r>
            <w:r>
              <w:rPr>
                <w:rFonts w:eastAsia="Batang"/>
                <w:szCs w:val="20"/>
                <w:lang w:val="en-GB" w:eastAsia="en-US"/>
              </w:rPr>
              <w:t xml:space="preserve"> structure: </w:t>
            </w:r>
          </w:p>
          <w:p w:rsidR="00B91E49" w:rsidRDefault="00B91E49" w:rsidP="00B91E49">
            <w:pPr>
              <w:widowControl w:val="0"/>
              <w:numPr>
                <w:ilvl w:val="2"/>
                <w:numId w:val="11"/>
              </w:numPr>
              <w:snapToGrid w:val="0"/>
              <w:spacing w:after="0" w:line="300" w:lineRule="auto"/>
              <w:rPr>
                <w:rFonts w:eastAsia="Batang"/>
                <w:szCs w:val="20"/>
                <w:lang w:val="en-GB" w:eastAsia="en-US"/>
              </w:rPr>
            </w:pPr>
            <w:r>
              <w:rPr>
                <w:rFonts w:eastAsia="Batang"/>
                <w:szCs w:val="20"/>
                <w:lang w:val="en-GB" w:eastAsia="en-US"/>
              </w:rPr>
              <w:t xml:space="preserve">Option 1: Layer-specific inter-polarization amplitude and phase scaling (single scaling coefficient per polarization) </w:t>
            </w:r>
          </w:p>
          <w:p w:rsidR="00B91E49" w:rsidRDefault="00B91E49" w:rsidP="00B91E49">
            <w:pPr>
              <w:widowControl w:val="0"/>
              <w:numPr>
                <w:ilvl w:val="3"/>
                <w:numId w:val="11"/>
              </w:numPr>
              <w:snapToGrid w:val="0"/>
              <w:spacing w:after="0" w:line="300" w:lineRule="auto"/>
              <w:rPr>
                <w:rFonts w:eastAsia="Batang"/>
                <w:szCs w:val="20"/>
                <w:lang w:val="en-GB" w:eastAsia="en-US"/>
              </w:rPr>
            </w:pPr>
            <w:r>
              <w:rPr>
                <w:rFonts w:eastAsia="Batang"/>
                <w:szCs w:val="20"/>
                <w:lang w:val="en-GB" w:eastAsia="en-US"/>
              </w:rPr>
              <w:t xml:space="preserve">FFS: WB/SB amplitude and phase reporting. </w:t>
            </w:r>
          </w:p>
          <w:p w:rsidR="00B91E49" w:rsidRDefault="00B91E49" w:rsidP="00B91E49">
            <w:pPr>
              <w:widowControl w:val="0"/>
              <w:numPr>
                <w:ilvl w:val="2"/>
                <w:numId w:val="11"/>
              </w:numPr>
              <w:snapToGrid w:val="0"/>
              <w:spacing w:after="0" w:line="300" w:lineRule="auto"/>
              <w:rPr>
                <w:rFonts w:eastAsia="Batang"/>
                <w:szCs w:val="20"/>
                <w:lang w:val="en-GB" w:eastAsia="en-US"/>
              </w:rPr>
            </w:pPr>
            <w:r>
              <w:rPr>
                <w:rFonts w:eastAsia="Batang"/>
                <w:szCs w:val="20"/>
                <w:lang w:val="en-GB" w:eastAsia="en-US"/>
              </w:rPr>
              <w:t xml:space="preserve">Option 2: Layer-specific intra-polarization (two scaling coefficients per polarization) amplitude and phase scaling. </w:t>
            </w:r>
          </w:p>
          <w:p w:rsidR="00B91E49" w:rsidRDefault="00B91E49" w:rsidP="00B91E49">
            <w:pPr>
              <w:widowControl w:val="0"/>
              <w:numPr>
                <w:ilvl w:val="3"/>
                <w:numId w:val="11"/>
              </w:numPr>
              <w:snapToGrid w:val="0"/>
              <w:spacing w:after="0" w:line="300" w:lineRule="auto"/>
              <w:rPr>
                <w:rFonts w:eastAsia="Batang"/>
                <w:szCs w:val="20"/>
                <w:lang w:val="en-GB" w:eastAsia="en-US"/>
              </w:rPr>
            </w:pPr>
            <w:r>
              <w:rPr>
                <w:rFonts w:eastAsia="Batang"/>
                <w:szCs w:val="20"/>
                <w:lang w:val="en-GB" w:eastAsia="en-US"/>
              </w:rPr>
              <w:t>FFS: WB/SB amplitude and phase reporting.</w:t>
            </w:r>
          </w:p>
          <w:p w:rsidR="00B91E49" w:rsidRDefault="00B91E49" w:rsidP="00B91E49">
            <w:pPr>
              <w:numPr>
                <w:ilvl w:val="2"/>
                <w:numId w:val="11"/>
              </w:numPr>
              <w:snapToGrid w:val="0"/>
              <w:spacing w:after="0" w:line="300" w:lineRule="auto"/>
              <w:rPr>
                <w:rFonts w:eastAsia="Batang"/>
                <w:sz w:val="16"/>
                <w:szCs w:val="20"/>
                <w:lang w:val="en-GB" w:eastAsia="ko-KR"/>
              </w:rPr>
            </w:pPr>
            <w:r>
              <w:rPr>
                <w:rFonts w:eastAsia="Batang"/>
                <w:szCs w:val="24"/>
                <w:lang w:val="en-GB" w:eastAsia="en-US"/>
              </w:rPr>
              <w:t>FFS: Rel-15 3-bit WB amplitude and M-PSK co-phasing and M is further down-selected from {2, 4, 8, 16}.</w:t>
            </w:r>
          </w:p>
          <w:p w:rsidR="00B91E49" w:rsidRDefault="00B91E49" w:rsidP="00B91E49">
            <w:pPr>
              <w:widowControl w:val="0"/>
              <w:numPr>
                <w:ilvl w:val="0"/>
                <w:numId w:val="11"/>
              </w:numPr>
              <w:snapToGrid w:val="0"/>
              <w:spacing w:after="0" w:line="300" w:lineRule="auto"/>
              <w:rPr>
                <w:rFonts w:eastAsia="Batang"/>
                <w:szCs w:val="20"/>
                <w:lang w:val="en-GB" w:eastAsia="en-US"/>
              </w:rPr>
            </w:pPr>
            <w:r>
              <w:rPr>
                <w:rFonts w:eastAsia="Batang"/>
                <w:szCs w:val="20"/>
                <w:lang w:val="en-GB" w:eastAsia="en-US"/>
              </w:rPr>
              <w:t>Scheme3: Adding new (N</w:t>
            </w:r>
            <w:r>
              <w:rPr>
                <w:rFonts w:eastAsia="Batang"/>
                <w:szCs w:val="20"/>
                <w:vertAlign w:val="subscript"/>
                <w:lang w:val="en-GB" w:eastAsia="en-US"/>
              </w:rPr>
              <w:t>1</w:t>
            </w:r>
            <w:r>
              <w:rPr>
                <w:rFonts w:eastAsia="Batang"/>
                <w:szCs w:val="20"/>
                <w:lang w:val="en-GB" w:eastAsia="en-US"/>
              </w:rPr>
              <w:t>, N</w:t>
            </w:r>
            <w:r>
              <w:rPr>
                <w:rFonts w:eastAsia="Batang"/>
                <w:szCs w:val="20"/>
                <w:vertAlign w:val="subscript"/>
                <w:lang w:val="en-GB" w:eastAsia="en-US"/>
              </w:rPr>
              <w:t>2</w:t>
            </w:r>
            <w:r>
              <w:rPr>
                <w:rFonts w:eastAsia="Batang"/>
                <w:szCs w:val="20"/>
                <w:lang w:val="en-GB" w:eastAsia="en-US"/>
              </w:rPr>
              <w:t>) values where 2N</w:t>
            </w:r>
            <w:r>
              <w:rPr>
                <w:rFonts w:eastAsia="Batang"/>
                <w:szCs w:val="20"/>
                <w:vertAlign w:val="subscript"/>
                <w:lang w:val="en-GB" w:eastAsia="en-US"/>
              </w:rPr>
              <w:t>1</w:t>
            </w:r>
            <w:r>
              <w:rPr>
                <w:rFonts w:eastAsia="Batang"/>
                <w:szCs w:val="20"/>
                <w:lang w:val="en-GB" w:eastAsia="en-US"/>
              </w:rPr>
              <w:t>N</w:t>
            </w:r>
            <w:r>
              <w:rPr>
                <w:rFonts w:eastAsia="Batang"/>
                <w:szCs w:val="20"/>
                <w:vertAlign w:val="subscript"/>
                <w:lang w:val="en-GB" w:eastAsia="en-US"/>
              </w:rPr>
              <w:t>2</w:t>
            </w:r>
            <w:r>
              <w:rPr>
                <w:rFonts w:eastAsia="Batang"/>
                <w:szCs w:val="20"/>
                <w:lang w:val="en-GB" w:eastAsia="en-US"/>
              </w:rPr>
              <w:t xml:space="preserve"> (&gt;32) is the total number of CSI-RS ports across </w:t>
            </w:r>
            <w:r>
              <w:rPr>
                <w:rFonts w:eastAsia="Batang"/>
                <w:szCs w:val="20"/>
                <w:lang w:val="en-GB" w:eastAsia="en-US"/>
              </w:rPr>
              <w:lastRenderedPageBreak/>
              <w:t>aggregated NZP CSI-RS resources, and</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W</w:t>
            </w:r>
            <w:r>
              <w:rPr>
                <w:rFonts w:eastAsia="Batang"/>
                <w:szCs w:val="20"/>
                <w:vertAlign w:val="subscript"/>
                <w:lang w:val="en-GB" w:eastAsia="en-US"/>
              </w:rPr>
              <w:t>1</w:t>
            </w:r>
            <w:r>
              <w:rPr>
                <w:rFonts w:eastAsia="Batang"/>
                <w:szCs w:val="20"/>
                <w:lang w:val="en-GB" w:eastAsia="en-US"/>
              </w:rPr>
              <w:t xml:space="preserve"> structure: </w:t>
            </w:r>
          </w:p>
          <w:p w:rsidR="00B91E49" w:rsidRDefault="00B91E49" w:rsidP="00B91E49">
            <w:pPr>
              <w:widowControl w:val="0"/>
              <w:numPr>
                <w:ilvl w:val="2"/>
                <w:numId w:val="11"/>
              </w:numPr>
              <w:snapToGrid w:val="0"/>
              <w:spacing w:after="0" w:line="300" w:lineRule="auto"/>
              <w:rPr>
                <w:rFonts w:eastAsia="Batang"/>
                <w:szCs w:val="20"/>
                <w:lang w:val="en-GB" w:eastAsia="en-US"/>
              </w:rPr>
            </w:pPr>
            <w:r>
              <w:rPr>
                <w:rFonts w:eastAsia="Batang"/>
                <w:szCs w:val="20"/>
                <w:lang w:val="en-GB" w:eastAsia="en-US"/>
              </w:rPr>
              <w:t xml:space="preserve">Reuse legacy Rel-16 </w:t>
            </w:r>
            <w:proofErr w:type="spellStart"/>
            <w:r>
              <w:rPr>
                <w:rFonts w:eastAsia="Batang"/>
                <w:szCs w:val="20"/>
                <w:lang w:val="en-GB" w:eastAsia="en-US"/>
              </w:rPr>
              <w:t>eType</w:t>
            </w:r>
            <w:proofErr w:type="spellEnd"/>
            <w:r>
              <w:rPr>
                <w:rFonts w:eastAsia="Batang"/>
                <w:szCs w:val="20"/>
                <w:lang w:val="en-GB" w:eastAsia="en-US"/>
              </w:rPr>
              <w:t xml:space="preserve">-II SD basis with L&gt;1 </w:t>
            </w:r>
            <w:r>
              <w:rPr>
                <w:rFonts w:eastAsia="Batang"/>
                <w:color w:val="FF0000"/>
                <w:szCs w:val="20"/>
                <w:lang w:val="en-GB" w:eastAsia="en-US"/>
              </w:rPr>
              <w:t xml:space="preserve">to determine the DFT-based SD basis candidates, and </w:t>
            </w:r>
            <w:r>
              <w:rPr>
                <w:rFonts w:eastAsia="Malgun Gothic"/>
                <w:color w:val="FF0000"/>
                <w:szCs w:val="20"/>
                <w:lang w:val="en-GB"/>
              </w:rPr>
              <w:t xml:space="preserve">indication of SD basis indices follows Rel-16 </w:t>
            </w:r>
            <w:proofErr w:type="spellStart"/>
            <w:r>
              <w:rPr>
                <w:rFonts w:eastAsia="Malgun Gothic"/>
                <w:color w:val="FF0000"/>
                <w:szCs w:val="20"/>
                <w:lang w:val="en-GB"/>
              </w:rPr>
              <w:t>eType</w:t>
            </w:r>
            <w:proofErr w:type="spellEnd"/>
            <w:r>
              <w:rPr>
                <w:rFonts w:eastAsia="Malgun Gothic"/>
                <w:color w:val="FF0000"/>
                <w:szCs w:val="20"/>
                <w:lang w:val="en-GB"/>
              </w:rPr>
              <w:t>-II</w:t>
            </w:r>
          </w:p>
          <w:p w:rsidR="00B91E49" w:rsidRDefault="00B91E49" w:rsidP="00B91E49">
            <w:pPr>
              <w:widowControl w:val="0"/>
              <w:numPr>
                <w:ilvl w:val="2"/>
                <w:numId w:val="11"/>
              </w:numPr>
              <w:snapToGrid w:val="0"/>
              <w:spacing w:after="0" w:line="300" w:lineRule="auto"/>
              <w:rPr>
                <w:rFonts w:eastAsia="Batang"/>
                <w:szCs w:val="20"/>
                <w:lang w:val="en-GB" w:eastAsia="en-US"/>
              </w:rPr>
            </w:pPr>
            <w:r>
              <w:rPr>
                <w:rFonts w:eastAsia="Batang"/>
                <w:szCs w:val="20"/>
                <w:lang w:val="en-GB" w:eastAsia="en-US"/>
              </w:rPr>
              <w:t>For 4≥RI&gt;1, L&gt;1 SD basis vectors are commonly selected across layers</w:t>
            </w:r>
          </w:p>
          <w:p w:rsidR="00B91E49" w:rsidRDefault="00B91E49" w:rsidP="00B91E49">
            <w:pPr>
              <w:widowControl w:val="0"/>
              <w:numPr>
                <w:ilvl w:val="3"/>
                <w:numId w:val="11"/>
              </w:numPr>
              <w:snapToGrid w:val="0"/>
              <w:spacing w:after="0" w:line="300" w:lineRule="auto"/>
              <w:rPr>
                <w:rFonts w:eastAsia="Batang"/>
                <w:color w:val="FF0000"/>
                <w:szCs w:val="20"/>
                <w:lang w:val="en-GB" w:eastAsia="en-US"/>
              </w:rPr>
            </w:pPr>
            <w:r>
              <w:rPr>
                <w:rFonts w:eastAsia="Malgun Gothic"/>
                <w:color w:val="FF0000"/>
                <w:szCs w:val="20"/>
                <w:lang w:val="en-GB"/>
              </w:rPr>
              <w:t>FFS: SD basis selection restriction to reduce SD overhead for RI&gt;4</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W</w:t>
            </w:r>
            <w:r>
              <w:rPr>
                <w:rFonts w:eastAsia="Batang"/>
                <w:szCs w:val="20"/>
                <w:vertAlign w:val="subscript"/>
                <w:lang w:val="en-GB" w:eastAsia="en-US"/>
              </w:rPr>
              <w:t>2</w:t>
            </w:r>
            <w:r>
              <w:rPr>
                <w:rFonts w:eastAsia="Batang"/>
                <w:szCs w:val="20"/>
                <w:lang w:val="en-GB" w:eastAsia="en-US"/>
              </w:rPr>
              <w:t xml:space="preserve"> structure: </w:t>
            </w:r>
          </w:p>
          <w:p w:rsidR="00B91E49" w:rsidRDefault="00B91E49" w:rsidP="00B91E49">
            <w:pPr>
              <w:widowControl w:val="0"/>
              <w:numPr>
                <w:ilvl w:val="2"/>
                <w:numId w:val="11"/>
              </w:numPr>
              <w:snapToGrid w:val="0"/>
              <w:spacing w:after="0" w:line="300" w:lineRule="auto"/>
              <w:rPr>
                <w:rFonts w:eastAsia="Batang"/>
                <w:szCs w:val="20"/>
                <w:lang w:val="en-GB" w:eastAsia="en-US"/>
              </w:rPr>
            </w:pPr>
            <w:r>
              <w:rPr>
                <w:rFonts w:eastAsia="Batang"/>
                <w:szCs w:val="20"/>
                <w:lang w:val="en-GB" w:eastAsia="en-US"/>
              </w:rPr>
              <w:t>Option 1: Layer-specific sub-band SD basis selection (1 out of L) and inter-polarization M-PSK co-phasing where M is further down-selected from {2, 4, 8, 16}</w:t>
            </w:r>
          </w:p>
          <w:p w:rsidR="00B91E49" w:rsidRDefault="00B91E49" w:rsidP="00B91E49">
            <w:pPr>
              <w:widowControl w:val="0"/>
              <w:numPr>
                <w:ilvl w:val="2"/>
                <w:numId w:val="11"/>
              </w:numPr>
              <w:snapToGrid w:val="0"/>
              <w:spacing w:after="0" w:line="300" w:lineRule="auto"/>
              <w:rPr>
                <w:rFonts w:eastAsia="Batang"/>
                <w:szCs w:val="20"/>
                <w:lang w:val="en-GB" w:eastAsia="en-US"/>
              </w:rPr>
            </w:pPr>
            <w:r>
              <w:rPr>
                <w:rFonts w:eastAsia="Batang"/>
                <w:szCs w:val="20"/>
                <w:lang w:val="en-GB" w:eastAsia="en-US"/>
              </w:rPr>
              <w:t xml:space="preserve">Option 2: Layer-specific wideband SD basis linear combination and inter-polarization </w:t>
            </w:r>
            <w:r>
              <w:rPr>
                <w:rFonts w:eastAsia="Batang"/>
                <w:iCs/>
                <w:szCs w:val="20"/>
                <w:lang w:val="en-GB" w:eastAsia="en-US"/>
              </w:rPr>
              <w:t xml:space="preserve">scaling coefficient (e.g., amplitude scaling + </w:t>
            </w:r>
            <w:r>
              <w:rPr>
                <w:rFonts w:eastAsia="Batang"/>
                <w:szCs w:val="20"/>
                <w:lang w:val="en-GB" w:eastAsia="en-US"/>
              </w:rPr>
              <w:t>M-PSK co-phasing) where M is further down-selected from {2, 4, 8, 16}</w:t>
            </w:r>
          </w:p>
          <w:p w:rsidR="00B91E49" w:rsidRDefault="00B91E49" w:rsidP="00B91E49">
            <w:pPr>
              <w:widowControl w:val="0"/>
              <w:numPr>
                <w:ilvl w:val="0"/>
                <w:numId w:val="11"/>
              </w:numPr>
              <w:snapToGrid w:val="0"/>
              <w:spacing w:after="0" w:line="300" w:lineRule="auto"/>
              <w:rPr>
                <w:rFonts w:eastAsia="Batang"/>
                <w:szCs w:val="20"/>
                <w:lang w:val="en-GB" w:eastAsia="en-US"/>
              </w:rPr>
            </w:pPr>
            <w:r>
              <w:rPr>
                <w:rFonts w:eastAsia="Batang"/>
                <w:szCs w:val="20"/>
                <w:lang w:val="en-GB" w:eastAsia="en-US"/>
              </w:rPr>
              <w:t>Scheme4: Using legacy Rel-15 Type-I codebook including legacy (N</w:t>
            </w:r>
            <w:r>
              <w:rPr>
                <w:rFonts w:eastAsia="Batang"/>
                <w:szCs w:val="20"/>
                <w:vertAlign w:val="subscript"/>
                <w:lang w:val="en-GB" w:eastAsia="en-US"/>
              </w:rPr>
              <w:t>1</w:t>
            </w:r>
            <w:r>
              <w:rPr>
                <w:rFonts w:eastAsia="Batang"/>
                <w:szCs w:val="20"/>
                <w:lang w:val="en-GB" w:eastAsia="en-US"/>
              </w:rPr>
              <w:t>, N</w:t>
            </w:r>
            <w:r>
              <w:rPr>
                <w:rFonts w:eastAsia="Batang"/>
                <w:szCs w:val="20"/>
                <w:vertAlign w:val="subscript"/>
                <w:lang w:val="en-GB" w:eastAsia="en-US"/>
              </w:rPr>
              <w:t>2</w:t>
            </w:r>
            <w:r>
              <w:rPr>
                <w:rFonts w:eastAsia="Batang"/>
                <w:szCs w:val="20"/>
                <w:lang w:val="en-GB" w:eastAsia="en-US"/>
              </w:rPr>
              <w:t>) values per NZP CSI-RS resource (or port group) where the PMI (associated with W</w:t>
            </w:r>
            <w:r>
              <w:rPr>
                <w:rFonts w:eastAsia="Batang"/>
                <w:szCs w:val="20"/>
                <w:vertAlign w:val="subscript"/>
                <w:lang w:val="en-GB" w:eastAsia="en-US"/>
              </w:rPr>
              <w:t>1</w:t>
            </w:r>
            <w:r>
              <w:rPr>
                <w:rFonts w:eastAsia="Batang"/>
                <w:szCs w:val="20"/>
                <w:lang w:val="en-GB" w:eastAsia="en-US"/>
              </w:rPr>
              <w:t xml:space="preserve"> and W</w:t>
            </w:r>
            <w:r>
              <w:rPr>
                <w:rFonts w:eastAsia="Batang"/>
                <w:szCs w:val="20"/>
                <w:vertAlign w:val="subscript"/>
                <w:lang w:val="en-GB" w:eastAsia="en-US"/>
              </w:rPr>
              <w:t>2</w:t>
            </w:r>
            <w:r>
              <w:rPr>
                <w:rFonts w:eastAsia="Batang"/>
                <w:szCs w:val="20"/>
                <w:lang w:val="en-GB" w:eastAsia="en-US"/>
              </w:rPr>
              <w:t>) is calculated according to</w:t>
            </w:r>
          </w:p>
          <w:p w:rsidR="00B91E49" w:rsidRDefault="00B91E49" w:rsidP="00B91E49">
            <w:pPr>
              <w:widowControl w:val="0"/>
              <w:numPr>
                <w:ilvl w:val="1"/>
                <w:numId w:val="11"/>
              </w:numPr>
              <w:suppressAutoHyphens/>
              <w:snapToGrid w:val="0"/>
              <w:spacing w:after="0" w:line="300" w:lineRule="auto"/>
              <w:rPr>
                <w:rFonts w:eastAsia="Batang"/>
                <w:sz w:val="22"/>
                <w:szCs w:val="18"/>
                <w:lang w:val="en-GB" w:eastAsia="en-US"/>
              </w:rPr>
            </w:pPr>
            <w:r>
              <w:rPr>
                <w:rFonts w:eastAsia="Batang"/>
                <w:szCs w:val="18"/>
                <w:lang w:val="en-GB" w:eastAsia="en-US"/>
              </w:rPr>
              <w:t>W1 structure: Reuse legacy Rel-15 Type-I SD basis with L=1 or L=4 for either each or some of the NZP CSI-RS resources (or port groups)</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18"/>
                <w:lang w:val="en-GB" w:eastAsia="en-US"/>
              </w:rPr>
              <w:t>W2 structure: inter-NZP CSI-RS resource (or port group) co-phasing along with reusing legacy Rel-15 Type-I inter-polarization co-phasing per NZP CSI-RS resource (or port group)</w:t>
            </w:r>
          </w:p>
          <w:p w:rsidR="00B91E49" w:rsidRDefault="00B91E49" w:rsidP="00B91E49">
            <w:pPr>
              <w:widowControl w:val="0"/>
              <w:numPr>
                <w:ilvl w:val="2"/>
                <w:numId w:val="11"/>
              </w:numPr>
              <w:suppressAutoHyphens/>
              <w:snapToGrid w:val="0"/>
              <w:spacing w:after="0" w:line="300" w:lineRule="auto"/>
              <w:rPr>
                <w:rFonts w:eastAsia="Batang"/>
                <w:sz w:val="22"/>
                <w:szCs w:val="18"/>
                <w:lang w:val="en-GB" w:eastAsia="en-US"/>
              </w:rPr>
            </w:pPr>
            <w:r>
              <w:rPr>
                <w:rFonts w:eastAsia="Malgun Gothic"/>
                <w:szCs w:val="18"/>
                <w:lang w:val="en-GB"/>
              </w:rPr>
              <w:t>inter-CSI-RS resource (or port group) co-phasing is used to combine the different PMIs to come up with a single precoder with &gt;32 ports</w:t>
            </w:r>
          </w:p>
          <w:p w:rsidR="00B91E49" w:rsidRDefault="00B91E49" w:rsidP="00B91E49">
            <w:pPr>
              <w:widowControl w:val="0"/>
              <w:numPr>
                <w:ilvl w:val="0"/>
                <w:numId w:val="11"/>
              </w:numPr>
              <w:snapToGrid w:val="0"/>
              <w:spacing w:after="0" w:line="300" w:lineRule="auto"/>
              <w:rPr>
                <w:rFonts w:eastAsia="Batang"/>
                <w:szCs w:val="20"/>
                <w:lang w:val="en-GB" w:eastAsia="en-US"/>
              </w:rPr>
            </w:pPr>
            <w:r>
              <w:rPr>
                <w:rFonts w:eastAsia="Batang"/>
                <w:szCs w:val="20"/>
                <w:lang w:val="en-GB" w:eastAsia="en-US"/>
              </w:rPr>
              <w:t>Scheme5: Adding new (N</w:t>
            </w:r>
            <w:r>
              <w:rPr>
                <w:rFonts w:eastAsia="Batang"/>
                <w:szCs w:val="20"/>
                <w:vertAlign w:val="subscript"/>
                <w:lang w:val="en-GB" w:eastAsia="en-US"/>
              </w:rPr>
              <w:t>1</w:t>
            </w:r>
            <w:r>
              <w:rPr>
                <w:rFonts w:eastAsia="Batang"/>
                <w:szCs w:val="20"/>
                <w:lang w:val="en-GB" w:eastAsia="en-US"/>
              </w:rPr>
              <w:t>, N</w:t>
            </w:r>
            <w:r>
              <w:rPr>
                <w:rFonts w:eastAsia="Batang"/>
                <w:szCs w:val="20"/>
                <w:vertAlign w:val="subscript"/>
                <w:lang w:val="en-GB" w:eastAsia="en-US"/>
              </w:rPr>
              <w:t>2</w:t>
            </w:r>
            <w:r>
              <w:rPr>
                <w:rFonts w:eastAsia="Batang"/>
                <w:szCs w:val="20"/>
                <w:lang w:val="en-GB" w:eastAsia="en-US"/>
              </w:rPr>
              <w:t>) values where 2N</w:t>
            </w:r>
            <w:r>
              <w:rPr>
                <w:rFonts w:eastAsia="Batang"/>
                <w:szCs w:val="20"/>
                <w:vertAlign w:val="subscript"/>
                <w:lang w:val="en-GB" w:eastAsia="en-US"/>
              </w:rPr>
              <w:t>1</w:t>
            </w:r>
            <w:r>
              <w:rPr>
                <w:rFonts w:eastAsia="Batang"/>
                <w:szCs w:val="20"/>
                <w:lang w:val="en-GB" w:eastAsia="en-US"/>
              </w:rPr>
              <w:t>N</w:t>
            </w:r>
            <w:r>
              <w:rPr>
                <w:rFonts w:eastAsia="Batang"/>
                <w:szCs w:val="20"/>
                <w:vertAlign w:val="subscript"/>
                <w:lang w:val="en-GB" w:eastAsia="en-US"/>
              </w:rPr>
              <w:t>2</w:t>
            </w:r>
            <w:r>
              <w:rPr>
                <w:rFonts w:eastAsia="Batang"/>
                <w:szCs w:val="20"/>
                <w:lang w:val="en-GB" w:eastAsia="en-US"/>
              </w:rPr>
              <w:t xml:space="preserve"> (&gt;32) is the total number of CSI-RS ports across aggregated NZP CSI-RS resources, and extending the set of orthogonal beams for the selection of the second beam based on the Rel-15 Type-I single-panel codebook</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(i</w:t>
            </w:r>
            <w:r>
              <w:rPr>
                <w:rFonts w:eastAsia="Batang"/>
                <w:szCs w:val="20"/>
                <w:vertAlign w:val="subscript"/>
                <w:lang w:val="en-GB" w:eastAsia="en-US"/>
              </w:rPr>
              <w:t>1,1</w:t>
            </w:r>
            <w:r>
              <w:rPr>
                <w:rFonts w:eastAsia="Batang"/>
                <w:szCs w:val="20"/>
                <w:lang w:val="en-GB" w:eastAsia="en-US"/>
              </w:rPr>
              <w:t>, i</w:t>
            </w:r>
            <w:r>
              <w:rPr>
                <w:rFonts w:eastAsia="Batang"/>
                <w:szCs w:val="20"/>
                <w:vertAlign w:val="subscript"/>
                <w:lang w:val="en-GB" w:eastAsia="en-US"/>
              </w:rPr>
              <w:t>1,2</w:t>
            </w:r>
            <w:r>
              <w:rPr>
                <w:rFonts w:eastAsia="Batang"/>
                <w:szCs w:val="20"/>
                <w:lang w:val="en-GB" w:eastAsia="en-US"/>
              </w:rPr>
              <w:t>) is used to refer to the 1</w:t>
            </w:r>
            <w:r>
              <w:rPr>
                <w:rFonts w:eastAsia="Batang"/>
                <w:szCs w:val="20"/>
                <w:vertAlign w:val="superscript"/>
                <w:lang w:val="en-GB" w:eastAsia="en-US"/>
              </w:rPr>
              <w:t>st</w:t>
            </w:r>
            <w:r>
              <w:rPr>
                <w:rFonts w:eastAsia="Batang"/>
                <w:szCs w:val="20"/>
                <w:lang w:val="en-GB" w:eastAsia="en-US"/>
              </w:rPr>
              <w:t xml:space="preserve"> beam as in legacy Rel-15 Type-I</w:t>
            </w:r>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The 2</w:t>
            </w:r>
            <w:r>
              <w:rPr>
                <w:rFonts w:eastAsia="Batang"/>
                <w:szCs w:val="20"/>
                <w:vertAlign w:val="superscript"/>
                <w:lang w:val="en-GB" w:eastAsia="en-US"/>
              </w:rPr>
              <w:t>nd</w:t>
            </w:r>
            <w:r>
              <w:rPr>
                <w:rFonts w:eastAsia="Batang"/>
                <w:szCs w:val="20"/>
                <w:lang w:val="en-GB" w:eastAsia="en-US"/>
              </w:rPr>
              <w:t xml:space="preserve"> beam is selected from the extended set of orthogonal beams of size: </w:t>
            </w:r>
            <m:oMath>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r>
                    <m:rPr>
                      <m:sty m:val="p"/>
                    </m:rPr>
                    <w:rPr>
                      <w:rFonts w:ascii="Cambria Math" w:hAnsi="Cambria Math"/>
                      <w:szCs w:val="20"/>
                      <w:lang w:val="en-IN"/>
                    </w:rPr>
                    <m:t>-1</m:t>
                  </m:r>
                </m:e>
              </m:d>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sSub>
                <m:sSubPr>
                  <m:ctrlPr>
                    <w:rPr>
                      <w:rFonts w:ascii="Cambria Math" w:hAnsi="Cambria Math"/>
                      <w:iCs/>
                      <w:szCs w:val="20"/>
                      <w:lang w:val="en-IN"/>
                    </w:rPr>
                  </m:ctrlPr>
                </m:sSubPr>
                <m:e>
                  <m:r>
                    <w:rPr>
                      <w:rFonts w:ascii="Cambria Math" w:hAnsi="Cambria Math"/>
                      <w:szCs w:val="20"/>
                      <w:lang w:val="en-IN"/>
                    </w:rPr>
                    <m:t>O</m:t>
                  </m:r>
                </m:e>
                <m:sub>
                  <m:r>
                    <m:rPr>
                      <m:sty m:val="p"/>
                    </m:rPr>
                    <w:rPr>
                      <w:rFonts w:ascii="Cambria Math" w:hAnsi="Cambria Math"/>
                      <w:szCs w:val="20"/>
                      <w:lang w:val="en-IN"/>
                    </w:rPr>
                    <m:t>2</m:t>
                  </m:r>
                </m:sub>
              </m:sSub>
              <m:r>
                <m:rPr>
                  <m:sty m:val="p"/>
                </m:rPr>
                <w:rPr>
                  <w:rFonts w:ascii="Cambria Math" w:hAnsi="Cambria Math"/>
                  <w:szCs w:val="20"/>
                  <w:lang w:val="en-IN"/>
                </w:rPr>
                <m:t>+</m:t>
              </m:r>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r>
                    <m:rPr>
                      <m:sty m:val="p"/>
                    </m:rPr>
                    <w:rPr>
                      <w:rFonts w:ascii="Cambria Math" w:hAnsi="Cambria Math"/>
                      <w:szCs w:val="20"/>
                      <w:lang w:val="en-IN"/>
                    </w:rPr>
                    <m:t>-1</m:t>
                  </m:r>
                </m:e>
              </m:d>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sSub>
                <m:sSubPr>
                  <m:ctrlPr>
                    <w:rPr>
                      <w:rFonts w:ascii="Cambria Math" w:hAnsi="Cambria Math"/>
                      <w:iCs/>
                      <w:szCs w:val="20"/>
                      <w:lang w:val="en-IN"/>
                    </w:rPr>
                  </m:ctrlPr>
                </m:sSubPr>
                <m:e>
                  <m:r>
                    <w:rPr>
                      <w:rFonts w:ascii="Cambria Math" w:hAnsi="Cambria Math"/>
                      <w:szCs w:val="20"/>
                      <w:lang w:val="en-IN"/>
                    </w:rPr>
                    <m:t>O</m:t>
                  </m:r>
                </m:e>
                <m:sub>
                  <m:r>
                    <m:rPr>
                      <m:sty m:val="p"/>
                    </m:rPr>
                    <w:rPr>
                      <w:rFonts w:ascii="Cambria Math" w:hAnsi="Cambria Math"/>
                      <w:szCs w:val="20"/>
                      <w:lang w:val="en-IN"/>
                    </w:rPr>
                    <m:t>1</m:t>
                  </m:r>
                </m:sub>
              </m:sSub>
              <m:r>
                <m:rPr>
                  <m:sty m:val="p"/>
                </m:rPr>
                <w:rPr>
                  <w:rFonts w:ascii="Cambria Math" w:hAnsi="Cambria Math"/>
                  <w:szCs w:val="20"/>
                  <w:lang w:val="en-IN"/>
                </w:rPr>
                <m:t>-</m:t>
              </m:r>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r>
                    <m:rPr>
                      <m:sty m:val="p"/>
                    </m:rPr>
                    <w:rPr>
                      <w:rFonts w:ascii="Cambria Math" w:hAnsi="Cambria Math"/>
                      <w:szCs w:val="20"/>
                      <w:lang w:val="en-IN"/>
                    </w:rPr>
                    <m:t>-1</m:t>
                  </m:r>
                </m:e>
              </m:d>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r>
                    <m:rPr>
                      <m:sty m:val="p"/>
                    </m:rPr>
                    <w:rPr>
                      <w:rFonts w:ascii="Cambria Math" w:hAnsi="Cambria Math"/>
                      <w:szCs w:val="20"/>
                      <w:lang w:val="en-IN"/>
                    </w:rPr>
                    <m:t>-1</m:t>
                  </m:r>
                </m:e>
              </m:d>
            </m:oMath>
          </w:p>
          <w:p w:rsidR="00B91E49" w:rsidRDefault="00B91E49" w:rsidP="00B91E49">
            <w:pPr>
              <w:widowControl w:val="0"/>
              <w:numPr>
                <w:ilvl w:val="1"/>
                <w:numId w:val="11"/>
              </w:numPr>
              <w:snapToGrid w:val="0"/>
              <w:spacing w:after="0" w:line="300" w:lineRule="auto"/>
              <w:rPr>
                <w:rFonts w:eastAsia="Batang"/>
                <w:szCs w:val="20"/>
                <w:lang w:val="en-GB" w:eastAsia="en-US"/>
              </w:rPr>
            </w:pPr>
            <w:r>
              <w:rPr>
                <w:rFonts w:eastAsia="Batang"/>
                <w:szCs w:val="20"/>
                <w:lang w:val="en-GB" w:eastAsia="en-US"/>
              </w:rPr>
              <w:t>FFS: whether to apply any restrictions to the extended orthogonal set of beams</w:t>
            </w:r>
          </w:p>
          <w:p w:rsidR="00B91E49" w:rsidRDefault="00B91E49" w:rsidP="00B91E49">
            <w:pPr>
              <w:widowControl w:val="0"/>
              <w:numPr>
                <w:ilvl w:val="0"/>
                <w:numId w:val="11"/>
              </w:numPr>
              <w:snapToGrid w:val="0"/>
              <w:spacing w:after="0" w:line="300" w:lineRule="auto"/>
              <w:rPr>
                <w:rFonts w:eastAsia="Batang"/>
                <w:sz w:val="22"/>
                <w:szCs w:val="20"/>
                <w:lang w:val="en-GB" w:eastAsia="en-US"/>
              </w:rPr>
            </w:pPr>
            <w:r>
              <w:rPr>
                <w:rFonts w:eastAsia="Malgun Gothic"/>
                <w:szCs w:val="18"/>
                <w:lang w:val="en-GB"/>
              </w:rPr>
              <w:t>Scheme6: Adding new (N</w:t>
            </w:r>
            <w:r>
              <w:rPr>
                <w:rFonts w:eastAsia="Malgun Gothic"/>
                <w:szCs w:val="18"/>
                <w:vertAlign w:val="subscript"/>
                <w:lang w:val="en-GB"/>
              </w:rPr>
              <w:t>1</w:t>
            </w:r>
            <w:r>
              <w:rPr>
                <w:rFonts w:eastAsia="Malgun Gothic"/>
                <w:szCs w:val="18"/>
                <w:lang w:val="en-GB"/>
              </w:rPr>
              <w:t>, N</w:t>
            </w:r>
            <w:r>
              <w:rPr>
                <w:rFonts w:eastAsia="Malgun Gothic"/>
                <w:szCs w:val="18"/>
                <w:vertAlign w:val="subscript"/>
                <w:lang w:val="en-GB"/>
              </w:rPr>
              <w:t>2</w:t>
            </w:r>
            <w:r>
              <w:rPr>
                <w:rFonts w:eastAsia="Malgun Gothic"/>
                <w:szCs w:val="18"/>
                <w:lang w:val="en-GB"/>
              </w:rPr>
              <w:t>) values where 2N</w:t>
            </w:r>
            <w:r>
              <w:rPr>
                <w:rFonts w:eastAsia="Malgun Gothic"/>
                <w:szCs w:val="18"/>
                <w:vertAlign w:val="subscript"/>
                <w:lang w:val="en-GB"/>
              </w:rPr>
              <w:t>1</w:t>
            </w:r>
            <w:r>
              <w:rPr>
                <w:rFonts w:eastAsia="Malgun Gothic"/>
                <w:szCs w:val="18"/>
                <w:lang w:val="en-GB"/>
              </w:rPr>
              <w:t>N</w:t>
            </w:r>
            <w:r>
              <w:rPr>
                <w:rFonts w:eastAsia="Malgun Gothic"/>
                <w:szCs w:val="18"/>
                <w:vertAlign w:val="subscript"/>
                <w:lang w:val="en-GB"/>
              </w:rPr>
              <w:t>2</w:t>
            </w:r>
            <w:r>
              <w:rPr>
                <w:rFonts w:eastAsia="Malgun Gothic"/>
                <w:szCs w:val="18"/>
                <w:lang w:val="en-GB"/>
              </w:rPr>
              <w:t xml:space="preserve"> (&gt;32) is the total number of CSI-RS ports across aggregated NZP CSI-RS resources, and </w:t>
            </w:r>
          </w:p>
          <w:p w:rsidR="00B91E49" w:rsidRDefault="00B91E49" w:rsidP="00B91E49">
            <w:pPr>
              <w:widowControl w:val="0"/>
              <w:numPr>
                <w:ilvl w:val="1"/>
                <w:numId w:val="11"/>
              </w:numPr>
              <w:snapToGrid w:val="0"/>
              <w:spacing w:after="0" w:line="300" w:lineRule="auto"/>
              <w:rPr>
                <w:rFonts w:eastAsia="Malgun Gothic"/>
                <w:szCs w:val="18"/>
                <w:lang w:val="en-GB"/>
              </w:rPr>
            </w:pPr>
            <w:r>
              <w:rPr>
                <w:rFonts w:eastAsia="Malgun Gothic"/>
                <w:szCs w:val="18"/>
                <w:lang w:val="en-GB"/>
              </w:rPr>
              <w:t xml:space="preserve">Beam(s) is(are) selected for each antenna group or NZP CSI-RS resource. </w:t>
            </w:r>
          </w:p>
          <w:p w:rsidR="00B91E49" w:rsidRDefault="00B91E49" w:rsidP="00B91E49">
            <w:pPr>
              <w:widowControl w:val="0"/>
              <w:numPr>
                <w:ilvl w:val="1"/>
                <w:numId w:val="11"/>
              </w:numPr>
              <w:snapToGrid w:val="0"/>
              <w:spacing w:after="0" w:line="300" w:lineRule="auto"/>
              <w:rPr>
                <w:rFonts w:eastAsia="Batang"/>
                <w:sz w:val="22"/>
                <w:szCs w:val="20"/>
                <w:lang w:val="en-GB" w:eastAsia="en-US"/>
              </w:rPr>
            </w:pPr>
            <w:r>
              <w:rPr>
                <w:rFonts w:eastAsia="Malgun Gothic"/>
                <w:szCs w:val="18"/>
                <w:lang w:val="en-GB"/>
              </w:rPr>
              <w:t>Inter-group (or CSI-RS resource) co-phasing along with inter-polarization co-phasing per group (or CSI-RS resource) are used to combine different beam(s), FFS using scalar quantization or vector quantization for the co-</w:t>
            </w:r>
            <w:proofErr w:type="spellStart"/>
            <w:r>
              <w:rPr>
                <w:rFonts w:eastAsia="Malgun Gothic"/>
                <w:szCs w:val="18"/>
                <w:lang w:val="en-GB"/>
              </w:rPr>
              <w:t>phasings</w:t>
            </w:r>
            <w:proofErr w:type="spellEnd"/>
            <w:r>
              <w:rPr>
                <w:rFonts w:eastAsia="Malgun Gothic"/>
                <w:szCs w:val="18"/>
                <w:lang w:val="en-GB"/>
              </w:rPr>
              <w:t xml:space="preserve"> </w:t>
            </w:r>
          </w:p>
          <w:p w:rsidR="00B91E49" w:rsidRDefault="00B91E49" w:rsidP="00B91E49">
            <w:pPr>
              <w:snapToGrid w:val="0"/>
              <w:spacing w:after="0" w:line="300" w:lineRule="auto"/>
              <w:rPr>
                <w:rFonts w:eastAsia="Batang"/>
                <w:szCs w:val="20"/>
                <w:lang w:val="en-GB" w:eastAsia="en-US"/>
              </w:rPr>
            </w:pPr>
            <w:r>
              <w:rPr>
                <w:rFonts w:eastAsia="Batang"/>
                <w:szCs w:val="20"/>
                <w:lang w:val="en-GB" w:eastAsia="en-US"/>
              </w:rPr>
              <w:t>FFS (by RAN1#116bis): Down-select (O</w:t>
            </w:r>
            <w:r>
              <w:rPr>
                <w:rFonts w:eastAsia="Batang"/>
                <w:szCs w:val="20"/>
                <w:vertAlign w:val="subscript"/>
                <w:lang w:val="en-GB" w:eastAsia="en-US"/>
              </w:rPr>
              <w:t>1</w:t>
            </w:r>
            <w:r>
              <w:rPr>
                <w:rFonts w:eastAsia="Batang"/>
                <w:szCs w:val="20"/>
                <w:lang w:val="en-GB" w:eastAsia="en-US"/>
              </w:rPr>
              <w:t>, O</w:t>
            </w:r>
            <w:r>
              <w:rPr>
                <w:rFonts w:eastAsia="Batang"/>
                <w:szCs w:val="20"/>
                <w:vertAlign w:val="subscript"/>
                <w:lang w:val="en-GB" w:eastAsia="en-US"/>
              </w:rPr>
              <w:t>2</w:t>
            </w:r>
            <w:r>
              <w:rPr>
                <w:rFonts w:eastAsia="Batang"/>
                <w:szCs w:val="20"/>
                <w:lang w:val="en-GB" w:eastAsia="en-US"/>
              </w:rPr>
              <w:t>) value between (2,2) and (4,4), whether (O</w:t>
            </w:r>
            <w:r>
              <w:rPr>
                <w:rFonts w:eastAsia="Batang"/>
                <w:szCs w:val="20"/>
                <w:vertAlign w:val="subscript"/>
                <w:lang w:val="en-GB" w:eastAsia="en-US"/>
              </w:rPr>
              <w:t>1</w:t>
            </w:r>
            <w:r>
              <w:rPr>
                <w:rFonts w:eastAsia="Batang"/>
                <w:szCs w:val="20"/>
                <w:lang w:val="en-GB" w:eastAsia="en-US"/>
              </w:rPr>
              <w:t>, O</w:t>
            </w:r>
            <w:r>
              <w:rPr>
                <w:rFonts w:eastAsia="Batang"/>
                <w:szCs w:val="20"/>
                <w:vertAlign w:val="subscript"/>
                <w:lang w:val="en-GB" w:eastAsia="en-US"/>
              </w:rPr>
              <w:t>2</w:t>
            </w:r>
            <w:r>
              <w:rPr>
                <w:rFonts w:eastAsia="Batang"/>
                <w:szCs w:val="20"/>
                <w:lang w:val="en-GB" w:eastAsia="en-US"/>
              </w:rPr>
              <w:t>) and/or (q</w:t>
            </w:r>
            <w:r>
              <w:rPr>
                <w:rFonts w:eastAsia="Batang"/>
                <w:szCs w:val="20"/>
                <w:vertAlign w:val="subscript"/>
                <w:lang w:val="en-GB" w:eastAsia="en-US"/>
              </w:rPr>
              <w:t>1</w:t>
            </w:r>
            <w:r>
              <w:rPr>
                <w:rFonts w:eastAsia="Batang"/>
                <w:szCs w:val="20"/>
                <w:lang w:val="en-GB" w:eastAsia="en-US"/>
              </w:rPr>
              <w:t>, q</w:t>
            </w:r>
            <w:r>
              <w:rPr>
                <w:rFonts w:eastAsia="Batang"/>
                <w:szCs w:val="20"/>
                <w:vertAlign w:val="subscript"/>
                <w:lang w:val="en-GB" w:eastAsia="en-US"/>
              </w:rPr>
              <w:t>2</w:t>
            </w:r>
            <w:r>
              <w:rPr>
                <w:rFonts w:eastAsia="Batang"/>
                <w:szCs w:val="20"/>
                <w:lang w:val="en-GB" w:eastAsia="en-US"/>
              </w:rPr>
              <w:t>) is layer-common or layer-specific</w:t>
            </w:r>
          </w:p>
          <w:p w:rsidR="00B91E49" w:rsidRDefault="00B91E49" w:rsidP="00B91E49">
            <w:pPr>
              <w:snapToGrid w:val="0"/>
              <w:spacing w:after="0" w:line="300" w:lineRule="auto"/>
              <w:rPr>
                <w:rFonts w:eastAsia="Batang"/>
                <w:szCs w:val="20"/>
                <w:lang w:val="en-GB" w:eastAsia="en-US"/>
              </w:rPr>
            </w:pPr>
            <w:r>
              <w:rPr>
                <w:rFonts w:eastAsia="Batang"/>
                <w:szCs w:val="20"/>
                <w:lang w:val="en-GB" w:eastAsia="en-US"/>
              </w:rPr>
              <w:t>FFS (by RAN1#116bis): Whether extension of Rel-15 Type-I MP codebook for Rel-19 Type-I is also supported</w:t>
            </w:r>
          </w:p>
          <w:p w:rsidR="00B91E49" w:rsidRDefault="00B91E49" w:rsidP="00B91E49">
            <w:pPr>
              <w:snapToGrid w:val="0"/>
              <w:spacing w:after="0" w:line="300" w:lineRule="auto"/>
              <w:rPr>
                <w:rFonts w:eastAsia="Batang"/>
                <w:szCs w:val="20"/>
                <w:lang w:val="en-GB" w:eastAsia="en-US"/>
              </w:rPr>
            </w:pPr>
            <w:r>
              <w:rPr>
                <w:rFonts w:eastAsia="Batang"/>
                <w:szCs w:val="20"/>
                <w:lang w:val="en-GB" w:eastAsia="en-US"/>
              </w:rPr>
              <w:t xml:space="preserve">FFS (by RAN1#116bis): Whether to introduce larger L values (e.g. 6, 8, 10) </w:t>
            </w:r>
          </w:p>
          <w:p w:rsidR="00B91E49" w:rsidRDefault="00B91E49" w:rsidP="002A74A3">
            <w:pPr>
              <w:tabs>
                <w:tab w:val="left" w:pos="6106"/>
              </w:tabs>
              <w:snapToGrid w:val="0"/>
              <w:spacing w:after="0" w:line="300" w:lineRule="auto"/>
              <w:outlineLvl w:val="2"/>
              <w:rPr>
                <w:b/>
                <w:bCs/>
                <w:sz w:val="21"/>
                <w:szCs w:val="21"/>
              </w:rPr>
            </w:pPr>
            <w:r>
              <w:rPr>
                <w:rFonts w:eastAsia="Batang"/>
                <w:szCs w:val="20"/>
                <w:lang w:val="en-GB" w:eastAsia="en-US"/>
              </w:rPr>
              <w:t>FFS: Whether to refine CBSR design to reduce RRC overhead</w:t>
            </w:r>
          </w:p>
        </w:tc>
      </w:tr>
    </w:tbl>
    <w:p w:rsidR="00B91E49" w:rsidRPr="00B91E49" w:rsidRDefault="00FB238D" w:rsidP="00EE14B2">
      <w:pPr>
        <w:snapToGrid w:val="0"/>
        <w:spacing w:beforeLines="50" w:before="120" w:afterLines="50" w:after="120" w:line="300" w:lineRule="auto"/>
        <w:rPr>
          <w:b/>
          <w:bCs/>
          <w:sz w:val="21"/>
          <w:szCs w:val="21"/>
        </w:rPr>
      </w:pPr>
      <w:r>
        <w:rPr>
          <w:bCs/>
          <w:kern w:val="2"/>
          <w:szCs w:val="20"/>
        </w:rPr>
        <w:lastRenderedPageBreak/>
        <w:t xml:space="preserve">In the following, we elaborate our views on Type-I codebook refinement for RI = 1-4 </w:t>
      </w:r>
      <w:r w:rsidR="00756A18">
        <w:rPr>
          <w:bCs/>
          <w:kern w:val="2"/>
          <w:szCs w:val="20"/>
        </w:rPr>
        <w:t xml:space="preserve">from the perspectives of </w:t>
      </w:r>
      <w:r>
        <w:rPr>
          <w:bCs/>
          <w:kern w:val="2"/>
          <w:szCs w:val="20"/>
        </w:rPr>
        <w:t>SU-MIMO and MU-MIMO, respectively.</w:t>
      </w:r>
    </w:p>
    <w:p w:rsidR="009B70BD" w:rsidRDefault="0051047F" w:rsidP="002A74A3">
      <w:pPr>
        <w:snapToGrid w:val="0"/>
        <w:spacing w:beforeLines="50" w:before="120" w:afterLines="50" w:after="120" w:line="300" w:lineRule="auto"/>
        <w:outlineLvl w:val="3"/>
        <w:rPr>
          <w:bCs/>
          <w:kern w:val="2"/>
          <w:szCs w:val="20"/>
        </w:rPr>
      </w:pPr>
      <w:r>
        <w:rPr>
          <w:b/>
          <w:bCs/>
          <w:sz w:val="21"/>
          <w:szCs w:val="21"/>
        </w:rPr>
        <w:t>2.2.1.1 Type-I refinement for RI = 1-4 targeting SU-MIMO</w:t>
      </w:r>
    </w:p>
    <w:p w:rsidR="00B22FEA" w:rsidRDefault="00B22FEA" w:rsidP="002A74A3">
      <w:pPr>
        <w:snapToGrid w:val="0"/>
        <w:spacing w:beforeLines="30" w:before="72" w:afterLines="30" w:after="72"/>
        <w:textAlignment w:val="baseline"/>
      </w:pPr>
      <w:r>
        <w:t>For</w:t>
      </w:r>
      <w:r>
        <w:rPr>
          <w:rFonts w:hint="eastAsia"/>
        </w:rPr>
        <w:t xml:space="preserve"> Rel-15 Type-I codebook, the SD bases are </w:t>
      </w:r>
      <w:r w:rsidR="00D56968">
        <w:rPr>
          <w:rFonts w:hint="eastAsia"/>
        </w:rPr>
        <w:t>d</w:t>
      </w:r>
      <w:r w:rsidR="00D56968">
        <w:t>etermined</w:t>
      </w:r>
      <w:r>
        <w:rPr>
          <w:rFonts w:hint="eastAsia"/>
        </w:rPr>
        <w:t xml:space="preserve"> by a reference basis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Pr>
          <w:rFonts w:hAnsi="Cambria Math" w:hint="eastAsia"/>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Pr>
          <w:rFonts w:hint="eastAsia"/>
        </w:rPr>
        <w:t xml:space="preserve">) and one or more offset(s) (variable offset(s) indicated by </w:t>
      </w: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00D56968">
        <w:rPr>
          <w:rFonts w:hint="eastAsia"/>
        </w:rPr>
        <w:t xml:space="preserve"> </w:t>
      </w:r>
      <w:r w:rsidR="00D56968">
        <w:t>for RI = 1-4</w:t>
      </w:r>
      <w:r>
        <w:rPr>
          <w:rFonts w:hint="eastAsia"/>
        </w:rPr>
        <w:t xml:space="preserve">). Such SD bases selection mechanism limits that </w:t>
      </w:r>
      <w:r>
        <w:rPr>
          <w:rFonts w:hint="eastAsia"/>
        </w:rPr>
        <w:lastRenderedPageBreak/>
        <w:t xml:space="preserve">the selected SD bases </w:t>
      </w:r>
      <w:r w:rsidR="00D56968">
        <w:t>are</w:t>
      </w:r>
      <w:r>
        <w:t xml:space="preserve"> adjacent </w:t>
      </w:r>
      <w:r>
        <w:rPr>
          <w:rFonts w:hint="eastAsia"/>
        </w:rPr>
        <w:t>in the spa</w:t>
      </w:r>
      <w:r>
        <w:t>tial domain</w:t>
      </w:r>
      <w:r>
        <w:rPr>
          <w:rFonts w:hint="eastAsia"/>
        </w:rPr>
        <w:t xml:space="preserve">. When the number of antenna ports is small, e.g. &lt;32, </w:t>
      </w:r>
      <w:r w:rsidR="00177858">
        <w:t>it</w:t>
      </w:r>
      <w:r>
        <w:rPr>
          <w:rFonts w:hint="eastAsia"/>
        </w:rPr>
        <w:t xml:space="preserve"> may not influence the performance, because</w:t>
      </w:r>
      <w:r w:rsidR="00D56968">
        <w:t xml:space="preserve"> </w:t>
      </w:r>
      <w:r w:rsidR="00D56968">
        <w:rPr>
          <w:rFonts w:hint="eastAsia"/>
        </w:rPr>
        <w:t>the beam width is broad</w:t>
      </w:r>
      <w:r w:rsidR="00D56968">
        <w:t xml:space="preserve"> and</w:t>
      </w:r>
      <w:r>
        <w:rPr>
          <w:rFonts w:hint="eastAsia"/>
        </w:rPr>
        <w:t xml:space="preserve"> the </w:t>
      </w:r>
      <w:r>
        <w:t>dominant cluster(s) may</w:t>
      </w:r>
      <w:r w:rsidR="00D56968">
        <w:t xml:space="preserve"> distribute</w:t>
      </w:r>
      <w:r>
        <w:t xml:space="preserve"> </w:t>
      </w:r>
      <w:r w:rsidR="00177858">
        <w:t xml:space="preserve">within a limited </w:t>
      </w:r>
      <w:r>
        <w:t>spatial area</w:t>
      </w:r>
      <w:r>
        <w:rPr>
          <w:rFonts w:hint="eastAsia"/>
        </w:rPr>
        <w:t xml:space="preserve">. </w:t>
      </w:r>
      <w:r w:rsidR="00177858">
        <w:t xml:space="preserve">However, the limitation becomes less appropriate, when the </w:t>
      </w:r>
      <w:r>
        <w:rPr>
          <w:rFonts w:hint="eastAsia"/>
        </w:rPr>
        <w:t xml:space="preserve">number of antenna ports </w:t>
      </w:r>
      <w:r w:rsidR="00177858">
        <w:t>is increased</w:t>
      </w:r>
      <w:r>
        <w:rPr>
          <w:rFonts w:hint="eastAsia"/>
        </w:rPr>
        <w:t>,</w:t>
      </w:r>
      <w:r w:rsidR="00177858">
        <w:t xml:space="preserve"> and</w:t>
      </w:r>
      <w:r>
        <w:rPr>
          <w:rFonts w:hint="eastAsia"/>
        </w:rPr>
        <w:t xml:space="preserve"> the </w:t>
      </w:r>
      <w:r>
        <w:t>narrow</w:t>
      </w:r>
      <w:r w:rsidR="00D56968">
        <w:t>er</w:t>
      </w:r>
      <w:r>
        <w:rPr>
          <w:rFonts w:hint="eastAsia"/>
        </w:rPr>
        <w:t xml:space="preserve"> </w:t>
      </w:r>
      <w:r w:rsidR="00D56968">
        <w:t>beams</w:t>
      </w:r>
      <w:r>
        <w:rPr>
          <w:rFonts w:hint="eastAsia"/>
        </w:rPr>
        <w:t xml:space="preserve"> may not match the </w:t>
      </w:r>
      <w:r w:rsidR="00177858">
        <w:t>distributed</w:t>
      </w:r>
      <w:r>
        <w:rPr>
          <w:rFonts w:hint="eastAsia"/>
        </w:rPr>
        <w:t xml:space="preserve"> clusters. </w:t>
      </w:r>
      <w:r w:rsidR="00177858">
        <w:t>Therefore, independent SD basis selection for different layers should be supported.</w:t>
      </w:r>
    </w:p>
    <w:p w:rsidR="00B22FEA" w:rsidRDefault="00B22FEA" w:rsidP="00B22FEA">
      <w:pPr>
        <w:snapToGrid w:val="0"/>
        <w:spacing w:beforeLines="30" w:before="72" w:afterLines="30" w:after="72" w:line="300" w:lineRule="auto"/>
        <w:textAlignment w:val="center"/>
      </w:pPr>
      <w:r>
        <w:rPr>
          <w:rFonts w:hint="eastAsia"/>
        </w:rPr>
        <w:t>In additional, subband SD basis selection can be</w:t>
      </w:r>
      <w:r w:rsidR="00D56968">
        <w:t xml:space="preserve"> further</w:t>
      </w:r>
      <w:r>
        <w:rPr>
          <w:rFonts w:hint="eastAsia"/>
        </w:rPr>
        <w:t xml:space="preserve"> considered. In Rel-15 Type-I codebook, the subband SD basis selection is only supported for </w:t>
      </w:r>
      <w:r w:rsidR="00C22FD3">
        <w:t>RI =</w:t>
      </w:r>
      <w:r>
        <w:rPr>
          <w:rFonts w:hint="eastAsia"/>
        </w:rPr>
        <w:t xml:space="preserve"> </w:t>
      </w:r>
      <w:r w:rsidR="00C22FD3">
        <w:t>1-2</w:t>
      </w:r>
      <w:r>
        <w:rPr>
          <w:rFonts w:hint="eastAsia"/>
        </w:rPr>
        <w:t xml:space="preserve"> when the </w:t>
      </w:r>
      <w:proofErr w:type="spellStart"/>
      <w:r>
        <w:rPr>
          <w:rFonts w:hint="eastAsia"/>
          <w:i/>
          <w:iCs/>
        </w:rPr>
        <w:t>codebookMode</w:t>
      </w:r>
      <w:proofErr w:type="spellEnd"/>
      <w:r>
        <w:rPr>
          <w:rFonts w:hint="eastAsia"/>
          <w:i/>
          <w:iCs/>
        </w:rPr>
        <w:t xml:space="preserve"> </w:t>
      </w:r>
      <w:r>
        <w:rPr>
          <w:rFonts w:hint="eastAsia"/>
        </w:rPr>
        <w:t xml:space="preserve">is set to 2. </w:t>
      </w:r>
      <w:r w:rsidR="00133815">
        <w:t>Nevertheless, w</w:t>
      </w:r>
      <w:r w:rsidR="00C22FD3">
        <w:t>ith a larger number of antenna ports and narrow</w:t>
      </w:r>
      <w:r w:rsidR="00177858">
        <w:t>er</w:t>
      </w:r>
      <w:r w:rsidR="00C22FD3">
        <w:t xml:space="preserve"> beam width, the best SD basis may vary across different </w:t>
      </w:r>
      <w:proofErr w:type="spellStart"/>
      <w:r w:rsidR="00C22FD3">
        <w:t>subbands</w:t>
      </w:r>
      <w:proofErr w:type="spellEnd"/>
      <w:r w:rsidR="00C22FD3">
        <w:t>.</w:t>
      </w:r>
      <w:r w:rsidR="00177858">
        <w:t xml:space="preserve"> </w:t>
      </w:r>
      <w:r w:rsidR="00133815">
        <w:t>Then the subband SD basis selection should also be supported, at least for RI = 1-4.</w:t>
      </w:r>
    </w:p>
    <w:p w:rsidR="009B70BD" w:rsidRDefault="00133815" w:rsidP="002A74A3">
      <w:pPr>
        <w:widowControl w:val="0"/>
        <w:numPr>
          <w:ilvl w:val="255"/>
          <w:numId w:val="0"/>
        </w:numPr>
        <w:snapToGrid w:val="0"/>
        <w:spacing w:after="0" w:line="300" w:lineRule="auto"/>
        <w:rPr>
          <w:rFonts w:ascii="Times" w:hAnsi="Times"/>
          <w:szCs w:val="20"/>
        </w:rPr>
      </w:pPr>
      <w:r>
        <w:rPr>
          <w:bCs/>
          <w:kern w:val="2"/>
          <w:szCs w:val="20"/>
        </w:rPr>
        <w:t>The SLS is performed to evaluate the performance of scheme 1 and scheme 2. Figure 2 presents the reporting overhead and the throughput gain</w:t>
      </w:r>
      <w:r w:rsidR="008C577F">
        <w:rPr>
          <w:bCs/>
          <w:kern w:val="2"/>
          <w:szCs w:val="20"/>
        </w:rPr>
        <w:t xml:space="preserve">, where scheme 1 is set as the baseline. Compared to scheme 1, scheme 2 with M = 2 </w:t>
      </w:r>
      <w:r w:rsidR="008C577F">
        <w:rPr>
          <w:rFonts w:hint="eastAsia"/>
          <w:bCs/>
          <w:kern w:val="2"/>
          <w:szCs w:val="20"/>
        </w:rPr>
        <w:t>(</w:t>
      </w:r>
      <w:r w:rsidR="008C577F">
        <w:rPr>
          <w:bCs/>
          <w:kern w:val="2"/>
          <w:szCs w:val="20"/>
        </w:rPr>
        <w:t>BPSK) shows worse performance, but scheme 2 with M = 4 (QPSK) shows significantly better performance. Besides, subband SD</w:t>
      </w:r>
      <w:r w:rsidR="00050F04">
        <w:rPr>
          <w:bCs/>
          <w:kern w:val="2"/>
          <w:szCs w:val="20"/>
        </w:rPr>
        <w:t xml:space="preserve"> selection provide</w:t>
      </w:r>
      <w:r w:rsidR="007B6946">
        <w:rPr>
          <w:bCs/>
          <w:kern w:val="2"/>
          <w:szCs w:val="20"/>
        </w:rPr>
        <w:t>s</w:t>
      </w:r>
      <w:r w:rsidR="00050F04">
        <w:rPr>
          <w:bCs/>
          <w:kern w:val="2"/>
          <w:szCs w:val="20"/>
        </w:rPr>
        <w:t xml:space="preserve"> additional performance gain for scheme 2.</w:t>
      </w:r>
    </w:p>
    <w:p w:rsidR="009B70BD" w:rsidRDefault="0051047F">
      <w:pPr>
        <w:snapToGrid w:val="0"/>
        <w:spacing w:beforeLines="50" w:before="120" w:afterLines="50" w:after="120" w:line="300" w:lineRule="auto"/>
        <w:jc w:val="center"/>
        <w:rPr>
          <w:bCs/>
          <w:kern w:val="2"/>
          <w:szCs w:val="20"/>
        </w:rPr>
      </w:pPr>
      <w:r>
        <w:rPr>
          <w:noProof/>
        </w:rPr>
        <w:drawing>
          <wp:inline distT="0" distB="0" distL="114300" distR="114300">
            <wp:extent cx="2627630" cy="197040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628000" cy="1970921"/>
                    </a:xfrm>
                    <a:prstGeom prst="rect">
                      <a:avLst/>
                    </a:prstGeom>
                    <a:noFill/>
                    <a:ln>
                      <a:noFill/>
                    </a:ln>
                  </pic:spPr>
                </pic:pic>
              </a:graphicData>
            </a:graphic>
          </wp:inline>
        </w:drawing>
      </w:r>
    </w:p>
    <w:p w:rsidR="009B70BD" w:rsidRDefault="0051047F">
      <w:pPr>
        <w:snapToGrid w:val="0"/>
        <w:spacing w:beforeLines="30" w:before="72" w:afterLines="30" w:after="72" w:line="300" w:lineRule="auto"/>
        <w:jc w:val="center"/>
        <w:textAlignment w:val="center"/>
        <w:rPr>
          <w:bCs/>
          <w:kern w:val="2"/>
          <w:szCs w:val="20"/>
        </w:rPr>
      </w:pPr>
      <w:r>
        <w:rPr>
          <w:rFonts w:hint="eastAsia"/>
          <w:b/>
          <w:bCs/>
        </w:rPr>
        <w:t xml:space="preserve">Figure </w:t>
      </w:r>
      <w:r w:rsidR="00E2081D">
        <w:rPr>
          <w:b/>
          <w:bCs/>
        </w:rPr>
        <w:t>2</w:t>
      </w:r>
      <w:r>
        <w:rPr>
          <w:rFonts w:hint="eastAsia"/>
        </w:rPr>
        <w:t xml:space="preserve"> DL throughput gain</w:t>
      </w:r>
      <w:r>
        <w:t xml:space="preserve"> </w:t>
      </w:r>
      <w:r>
        <w:rPr>
          <w:rFonts w:hint="eastAsia"/>
        </w:rPr>
        <w:t>in SU-MIMO scenario with scheme</w:t>
      </w:r>
      <w:r>
        <w:t xml:space="preserve"> </w:t>
      </w:r>
      <w:r>
        <w:rPr>
          <w:rFonts w:hint="eastAsia"/>
        </w:rPr>
        <w:t>1</w:t>
      </w:r>
      <w:r>
        <w:t xml:space="preserve"> </w:t>
      </w:r>
      <w:r>
        <w:rPr>
          <w:rFonts w:hint="eastAsia"/>
        </w:rPr>
        <w:t>(baseline), scheme</w:t>
      </w:r>
      <w:r>
        <w:t xml:space="preserve"> </w:t>
      </w:r>
      <w:r>
        <w:rPr>
          <w:rFonts w:hint="eastAsia"/>
        </w:rPr>
        <w:t>2</w:t>
      </w:r>
      <w:r>
        <w:t xml:space="preserve"> </w:t>
      </w:r>
      <w:r>
        <w:rPr>
          <w:rFonts w:hint="eastAsia"/>
        </w:rPr>
        <w:t>(M</w:t>
      </w:r>
      <w:r>
        <w:t xml:space="preserve"> </w:t>
      </w:r>
      <w:r>
        <w:rPr>
          <w:rFonts w:hint="eastAsia"/>
        </w:rPr>
        <w:t>=</w:t>
      </w:r>
      <w:r>
        <w:t xml:space="preserve"> </w:t>
      </w:r>
      <w:r>
        <w:rPr>
          <w:rFonts w:hint="eastAsia"/>
        </w:rPr>
        <w:t>2), scheme</w:t>
      </w:r>
      <w:r>
        <w:t xml:space="preserve"> </w:t>
      </w:r>
      <w:r>
        <w:rPr>
          <w:rFonts w:hint="eastAsia"/>
        </w:rPr>
        <w:t>2</w:t>
      </w:r>
      <w:r>
        <w:t xml:space="preserve"> </w:t>
      </w:r>
      <w:r>
        <w:rPr>
          <w:rFonts w:hint="eastAsia"/>
        </w:rPr>
        <w:t>(M</w:t>
      </w:r>
      <w:r>
        <w:t xml:space="preserve"> </w:t>
      </w:r>
      <w:r>
        <w:rPr>
          <w:rFonts w:hint="eastAsia"/>
        </w:rPr>
        <w:t>=</w:t>
      </w:r>
      <w:r>
        <w:t xml:space="preserve"> </w:t>
      </w:r>
      <w:r>
        <w:rPr>
          <w:rFonts w:hint="eastAsia"/>
        </w:rPr>
        <w:t>4)</w:t>
      </w:r>
      <w:r>
        <w:t xml:space="preserve">, and </w:t>
      </w:r>
      <w:r w:rsidRPr="002A74A3">
        <w:t>scheme2</w:t>
      </w:r>
      <w:r>
        <w:t xml:space="preserve"> with additional subband SD basis selection</w:t>
      </w:r>
      <w:r w:rsidRPr="002A74A3">
        <w:t xml:space="preserve"> (L</w:t>
      </w:r>
      <w:r>
        <w:t xml:space="preserve"> </w:t>
      </w:r>
      <w:r w:rsidRPr="002A74A3">
        <w:t>=</w:t>
      </w:r>
      <w:r>
        <w:t xml:space="preserve"> </w:t>
      </w:r>
      <w:r w:rsidRPr="002A74A3">
        <w:t>4, M</w:t>
      </w:r>
      <w:r>
        <w:t xml:space="preserve"> </w:t>
      </w:r>
      <w:r w:rsidRPr="002A74A3">
        <w:t>=</w:t>
      </w:r>
      <w:r>
        <w:t xml:space="preserve"> </w:t>
      </w:r>
      <w:r w:rsidRPr="002A74A3">
        <w:t>4)</w:t>
      </w:r>
    </w:p>
    <w:p w:rsidR="009B70BD" w:rsidRDefault="0051047F">
      <w:pPr>
        <w:snapToGrid w:val="0"/>
        <w:spacing w:beforeLines="50" w:before="120" w:afterLines="50" w:after="120" w:line="300" w:lineRule="auto"/>
        <w:rPr>
          <w:bCs/>
          <w:i/>
          <w:iCs/>
          <w:kern w:val="2"/>
          <w:szCs w:val="20"/>
        </w:rPr>
      </w:pPr>
      <w:r>
        <w:rPr>
          <w:rFonts w:hint="eastAsia"/>
          <w:b/>
          <w:i/>
          <w:iCs/>
          <w:kern w:val="2"/>
          <w:szCs w:val="20"/>
        </w:rPr>
        <w:t xml:space="preserve">Observation </w:t>
      </w:r>
      <w:r w:rsidR="00EE14B2">
        <w:rPr>
          <w:b/>
          <w:i/>
          <w:iCs/>
          <w:kern w:val="2"/>
          <w:szCs w:val="20"/>
        </w:rPr>
        <w:t>2</w:t>
      </w:r>
      <w:r>
        <w:rPr>
          <w:rFonts w:hint="eastAsia"/>
          <w:b/>
          <w:i/>
          <w:iCs/>
          <w:kern w:val="2"/>
          <w:szCs w:val="20"/>
        </w:rPr>
        <w:t>:</w:t>
      </w:r>
      <w:r>
        <w:rPr>
          <w:rFonts w:hint="eastAsia"/>
          <w:bCs/>
          <w:i/>
          <w:iCs/>
          <w:kern w:val="2"/>
          <w:szCs w:val="20"/>
        </w:rPr>
        <w:t xml:space="preserve"> </w:t>
      </w:r>
      <w:r w:rsidR="004274DC">
        <w:rPr>
          <w:bCs/>
          <w:i/>
          <w:iCs/>
          <w:kern w:val="2"/>
          <w:szCs w:val="20"/>
        </w:rPr>
        <w:t>It is observed from the SLS results that:</w:t>
      </w:r>
    </w:p>
    <w:p w:rsidR="009B70BD" w:rsidRPr="007404A8" w:rsidRDefault="0051047F" w:rsidP="002A74A3">
      <w:pPr>
        <w:numPr>
          <w:ilvl w:val="0"/>
          <w:numId w:val="13"/>
        </w:numPr>
        <w:snapToGrid w:val="0"/>
        <w:spacing w:beforeLines="50" w:before="120" w:afterLines="50" w:after="120" w:line="300" w:lineRule="auto"/>
        <w:rPr>
          <w:i/>
          <w:iCs/>
        </w:rPr>
      </w:pPr>
      <w:r>
        <w:rPr>
          <w:rFonts w:hint="eastAsia"/>
          <w:i/>
          <w:iCs/>
        </w:rPr>
        <w:t xml:space="preserve">Compared to </w:t>
      </w:r>
      <w:r w:rsidR="004274DC">
        <w:rPr>
          <w:i/>
          <w:iCs/>
        </w:rPr>
        <w:t>scheme 1</w:t>
      </w:r>
      <w:r>
        <w:rPr>
          <w:rFonts w:hint="eastAsia"/>
          <w:i/>
          <w:iCs/>
        </w:rPr>
        <w:t xml:space="preserve">, </w:t>
      </w:r>
      <w:r w:rsidR="004274DC">
        <w:rPr>
          <w:i/>
          <w:iCs/>
        </w:rPr>
        <w:t>scheme 2</w:t>
      </w:r>
      <w:r w:rsidR="007404A8">
        <w:rPr>
          <w:i/>
          <w:iCs/>
        </w:rPr>
        <w:t xml:space="preserve"> with M = 2 (BPSK) shows worse performance, but scheme 2</w:t>
      </w:r>
      <w:r w:rsidR="004274DC">
        <w:rPr>
          <w:i/>
          <w:iCs/>
        </w:rPr>
        <w:t xml:space="preserve"> with M = 4 </w:t>
      </w:r>
      <w:r w:rsidR="007404A8">
        <w:rPr>
          <w:i/>
          <w:iCs/>
        </w:rPr>
        <w:t xml:space="preserve">(QPSK) </w:t>
      </w:r>
      <w:r w:rsidR="004274DC">
        <w:rPr>
          <w:i/>
          <w:iCs/>
        </w:rPr>
        <w:t>shows significantly better performance;</w:t>
      </w:r>
    </w:p>
    <w:p w:rsidR="009B70BD" w:rsidRPr="00E2081D" w:rsidRDefault="0051047F" w:rsidP="002A74A3">
      <w:pPr>
        <w:numPr>
          <w:ilvl w:val="0"/>
          <w:numId w:val="13"/>
        </w:numPr>
        <w:snapToGrid w:val="0"/>
        <w:spacing w:beforeLines="50" w:before="120" w:afterLines="50" w:after="120" w:line="300" w:lineRule="auto"/>
        <w:rPr>
          <w:bCs/>
          <w:kern w:val="2"/>
          <w:szCs w:val="20"/>
        </w:rPr>
      </w:pPr>
      <w:r>
        <w:rPr>
          <w:rFonts w:hint="eastAsia"/>
          <w:bCs/>
          <w:i/>
          <w:iCs/>
          <w:kern w:val="2"/>
          <w:szCs w:val="20"/>
        </w:rPr>
        <w:t xml:space="preserve">Subband SD basis selection </w:t>
      </w:r>
      <w:r w:rsidR="004274DC">
        <w:rPr>
          <w:bCs/>
          <w:i/>
          <w:iCs/>
          <w:kern w:val="2"/>
          <w:szCs w:val="20"/>
        </w:rPr>
        <w:t>provides additional performance gain for scheme 2.</w:t>
      </w:r>
    </w:p>
    <w:p w:rsidR="009B70BD" w:rsidRDefault="0051047F">
      <w:pPr>
        <w:snapToGrid w:val="0"/>
        <w:spacing w:beforeLines="50" w:before="120" w:afterLines="50" w:after="120" w:line="300" w:lineRule="auto"/>
        <w:rPr>
          <w:bCs/>
          <w:i/>
          <w:iCs/>
        </w:rPr>
      </w:pPr>
      <w:r>
        <w:rPr>
          <w:rFonts w:hint="eastAsia"/>
          <w:b/>
          <w:i/>
          <w:iCs/>
          <w:kern w:val="2"/>
          <w:szCs w:val="20"/>
        </w:rPr>
        <w:t xml:space="preserve">Proposal </w:t>
      </w:r>
      <w:r w:rsidR="00E2081D">
        <w:rPr>
          <w:b/>
          <w:i/>
          <w:iCs/>
          <w:kern w:val="2"/>
          <w:szCs w:val="20"/>
        </w:rPr>
        <w:t>6</w:t>
      </w:r>
      <w:r>
        <w:rPr>
          <w:rFonts w:hint="eastAsia"/>
          <w:b/>
          <w:i/>
          <w:iCs/>
          <w:kern w:val="2"/>
          <w:szCs w:val="20"/>
        </w:rPr>
        <w:t xml:space="preserve">: </w:t>
      </w:r>
      <w:r>
        <w:rPr>
          <w:rFonts w:hint="eastAsia"/>
          <w:bCs/>
          <w:i/>
          <w:iCs/>
        </w:rPr>
        <w:t>Regarding Rel-19 Type-I and Type-II codebook refinement</w:t>
      </w:r>
      <w:r>
        <w:rPr>
          <w:bCs/>
          <w:i/>
          <w:iCs/>
        </w:rPr>
        <w:t>, support scheme 2 for RI = 1~4 Type-I codebook design targeting SU-MIMO.</w:t>
      </w:r>
    </w:p>
    <w:p w:rsidR="009B70BD" w:rsidRDefault="0051047F">
      <w:pPr>
        <w:numPr>
          <w:ilvl w:val="0"/>
          <w:numId w:val="13"/>
        </w:numPr>
        <w:snapToGrid w:val="0"/>
        <w:spacing w:beforeLines="50" w:before="120" w:afterLines="50" w:after="120" w:line="300" w:lineRule="auto"/>
        <w:rPr>
          <w:bCs/>
          <w:i/>
          <w:iCs/>
          <w:kern w:val="2"/>
          <w:szCs w:val="20"/>
        </w:rPr>
      </w:pPr>
      <w:r>
        <w:rPr>
          <w:rFonts w:hint="eastAsia"/>
          <w:bCs/>
          <w:i/>
          <w:iCs/>
          <w:kern w:val="2"/>
          <w:szCs w:val="20"/>
        </w:rPr>
        <w:t>S</w:t>
      </w:r>
      <w:r>
        <w:rPr>
          <w:bCs/>
          <w:i/>
          <w:iCs/>
          <w:kern w:val="2"/>
          <w:szCs w:val="20"/>
        </w:rPr>
        <w:t>upport M = 4 for M-PSK inter-polarization co-phasing;</w:t>
      </w:r>
    </w:p>
    <w:p w:rsidR="009B70BD" w:rsidRDefault="0051047F">
      <w:pPr>
        <w:numPr>
          <w:ilvl w:val="0"/>
          <w:numId w:val="13"/>
        </w:numPr>
        <w:snapToGrid w:val="0"/>
        <w:spacing w:beforeLines="50" w:before="120" w:afterLines="50" w:after="120" w:line="300" w:lineRule="auto"/>
        <w:rPr>
          <w:bCs/>
          <w:i/>
          <w:iCs/>
          <w:kern w:val="2"/>
          <w:szCs w:val="20"/>
        </w:rPr>
      </w:pPr>
      <w:r>
        <w:rPr>
          <w:rFonts w:hint="eastAsia"/>
          <w:bCs/>
          <w:i/>
          <w:iCs/>
          <w:kern w:val="2"/>
          <w:szCs w:val="20"/>
        </w:rPr>
        <w:t>S</w:t>
      </w:r>
      <w:r>
        <w:rPr>
          <w:bCs/>
          <w:i/>
          <w:iCs/>
          <w:kern w:val="2"/>
          <w:szCs w:val="20"/>
        </w:rPr>
        <w:t>upport additional subband SD basis selection, i.e., L = 4.</w:t>
      </w:r>
    </w:p>
    <w:p w:rsidR="009B70BD" w:rsidRDefault="0051047F">
      <w:pPr>
        <w:tabs>
          <w:tab w:val="left" w:pos="420"/>
        </w:tabs>
        <w:snapToGrid w:val="0"/>
        <w:spacing w:beforeLines="50" w:before="120" w:afterLines="50" w:after="120" w:line="300" w:lineRule="auto"/>
        <w:rPr>
          <w:bCs/>
          <w:i/>
          <w:iCs/>
          <w:kern w:val="2"/>
        </w:rPr>
      </w:pPr>
      <w:r w:rsidRPr="002A74A3">
        <w:rPr>
          <w:bCs/>
          <w:iCs/>
          <w:kern w:val="2"/>
          <w:szCs w:val="20"/>
        </w:rPr>
        <w:t xml:space="preserve">With the evolution of 5G, more antenna ports may be applied (e.g. </w:t>
      </w:r>
      <w:r w:rsidR="003D6236">
        <w:rPr>
          <w:bCs/>
          <w:iCs/>
          <w:kern w:val="2"/>
          <w:szCs w:val="20"/>
        </w:rPr>
        <w:t xml:space="preserve">up to </w:t>
      </w:r>
      <w:r w:rsidRPr="002A74A3">
        <w:rPr>
          <w:bCs/>
          <w:iCs/>
          <w:kern w:val="2"/>
          <w:szCs w:val="20"/>
        </w:rPr>
        <w:t>128 ports</w:t>
      </w:r>
      <w:r w:rsidR="003D6236" w:rsidRPr="002A74A3">
        <w:rPr>
          <w:bCs/>
          <w:iCs/>
          <w:kern w:val="2"/>
          <w:szCs w:val="20"/>
        </w:rPr>
        <w:t>)</w:t>
      </w:r>
      <w:r w:rsidR="003D6236">
        <w:rPr>
          <w:bCs/>
          <w:iCs/>
          <w:kern w:val="2"/>
          <w:szCs w:val="20"/>
        </w:rPr>
        <w:t>, and</w:t>
      </w:r>
      <w:r w:rsidR="003D6236" w:rsidRPr="002A74A3">
        <w:rPr>
          <w:bCs/>
          <w:iCs/>
          <w:kern w:val="2"/>
          <w:szCs w:val="20"/>
        </w:rPr>
        <w:t xml:space="preserve"> </w:t>
      </w:r>
      <w:r w:rsidR="003D6236">
        <w:rPr>
          <w:bCs/>
          <w:iCs/>
          <w:kern w:val="2"/>
          <w:szCs w:val="20"/>
        </w:rPr>
        <w:t>both single-panel and multiple-panel structure</w:t>
      </w:r>
      <w:r w:rsidR="00065810">
        <w:rPr>
          <w:bCs/>
          <w:iCs/>
          <w:kern w:val="2"/>
          <w:szCs w:val="20"/>
        </w:rPr>
        <w:t>s</w:t>
      </w:r>
      <w:r w:rsidR="003D6236">
        <w:rPr>
          <w:bCs/>
          <w:iCs/>
          <w:kern w:val="2"/>
          <w:szCs w:val="20"/>
        </w:rPr>
        <w:t xml:space="preserve"> can be adopted </w:t>
      </w:r>
      <w:r w:rsidR="003D6236" w:rsidRPr="000D7C67">
        <w:rPr>
          <w:rFonts w:hint="eastAsia"/>
          <w:bCs/>
          <w:iCs/>
          <w:kern w:val="2"/>
          <w:szCs w:val="20"/>
        </w:rPr>
        <w:t>in the future</w:t>
      </w:r>
      <w:r w:rsidR="003D6236">
        <w:rPr>
          <w:bCs/>
          <w:iCs/>
          <w:kern w:val="2"/>
          <w:szCs w:val="20"/>
        </w:rPr>
        <w:t xml:space="preserve">. Clearly, single-panel structure can provide better performance due to narrower beam width, but it can also lead to higher </w:t>
      </w:r>
      <w:r w:rsidR="003D6236" w:rsidRPr="003D6236">
        <w:rPr>
          <w:bCs/>
          <w:iCs/>
          <w:kern w:val="2"/>
          <w:szCs w:val="20"/>
        </w:rPr>
        <w:t>cost of manufacture</w:t>
      </w:r>
      <w:r w:rsidR="003D6236">
        <w:rPr>
          <w:bCs/>
          <w:iCs/>
          <w:kern w:val="2"/>
          <w:szCs w:val="20"/>
        </w:rPr>
        <w:t xml:space="preserve">. </w:t>
      </w:r>
      <w:r w:rsidR="00B60C51">
        <w:rPr>
          <w:bCs/>
          <w:iCs/>
          <w:kern w:val="2"/>
          <w:szCs w:val="20"/>
        </w:rPr>
        <w:t>Then the multi-panel structure seems a good tradeoff between performance and costs</w:t>
      </w:r>
      <w:r w:rsidRPr="002A74A3">
        <w:rPr>
          <w:bCs/>
          <w:iCs/>
        </w:rPr>
        <w:t xml:space="preserve">. </w:t>
      </w:r>
      <w:r w:rsidR="003D6236">
        <w:rPr>
          <w:bCs/>
          <w:iCs/>
        </w:rPr>
        <w:t xml:space="preserve">So, </w:t>
      </w:r>
      <w:r w:rsidRPr="002A74A3">
        <w:rPr>
          <w:bCs/>
          <w:iCs/>
        </w:rPr>
        <w:t xml:space="preserve">the </w:t>
      </w:r>
      <w:r w:rsidR="00065810" w:rsidRPr="002A74A3">
        <w:rPr>
          <w:bCs/>
          <w:iCs/>
          <w:lang w:val="en-GB"/>
        </w:rPr>
        <w:t>extension</w:t>
      </w:r>
      <w:r w:rsidRPr="002A74A3">
        <w:rPr>
          <w:bCs/>
          <w:iCs/>
          <w:lang w:val="en-GB"/>
        </w:rPr>
        <w:t xml:space="preserve"> of Rel-15 Type-I MP codebook </w:t>
      </w:r>
      <w:r w:rsidR="003D6236">
        <w:rPr>
          <w:bCs/>
          <w:iCs/>
          <w:lang w:val="en-GB"/>
        </w:rPr>
        <w:t>can be considered</w:t>
      </w:r>
      <w:r w:rsidRPr="002A74A3">
        <w:rPr>
          <w:bCs/>
          <w:iCs/>
        </w:rPr>
        <w:t>.</w:t>
      </w:r>
    </w:p>
    <w:p w:rsidR="009B70BD" w:rsidRDefault="0051047F" w:rsidP="002A74A3">
      <w:pPr>
        <w:tabs>
          <w:tab w:val="left" w:pos="420"/>
        </w:tabs>
        <w:snapToGrid w:val="0"/>
        <w:spacing w:beforeLines="50" w:before="120" w:afterLines="50" w:after="120" w:line="300" w:lineRule="auto"/>
      </w:pPr>
      <w:r>
        <w:rPr>
          <w:rFonts w:hint="eastAsia"/>
          <w:b/>
          <w:i/>
          <w:iCs/>
          <w:kern w:val="2"/>
          <w:szCs w:val="20"/>
        </w:rPr>
        <w:t xml:space="preserve">Proposal </w:t>
      </w:r>
      <w:r w:rsidR="007B2E32">
        <w:rPr>
          <w:b/>
          <w:i/>
          <w:iCs/>
          <w:kern w:val="2"/>
          <w:szCs w:val="20"/>
        </w:rPr>
        <w:t>7</w:t>
      </w:r>
      <w:r>
        <w:rPr>
          <w:rFonts w:hint="eastAsia"/>
          <w:b/>
          <w:i/>
          <w:iCs/>
          <w:kern w:val="2"/>
          <w:szCs w:val="20"/>
        </w:rPr>
        <w:t xml:space="preserve">: </w:t>
      </w:r>
      <w:r>
        <w:rPr>
          <w:rFonts w:hint="eastAsia"/>
          <w:bCs/>
          <w:i/>
          <w:iCs/>
        </w:rPr>
        <w:t>Regarding Rel-19 Type-I and Type-II codebook refinement</w:t>
      </w:r>
      <w:r>
        <w:rPr>
          <w:bCs/>
          <w:i/>
          <w:iCs/>
        </w:rPr>
        <w:t xml:space="preserve">, </w:t>
      </w:r>
      <w:r w:rsidR="00120885">
        <w:rPr>
          <w:bCs/>
          <w:i/>
          <w:iCs/>
        </w:rPr>
        <w:t xml:space="preserve">the </w:t>
      </w:r>
      <w:r w:rsidR="004F4582">
        <w:rPr>
          <w:bCs/>
          <w:i/>
          <w:iCs/>
          <w:lang w:val="en-GB"/>
        </w:rPr>
        <w:t>extension</w:t>
      </w:r>
      <w:r w:rsidR="004F4582">
        <w:rPr>
          <w:rFonts w:hint="eastAsia"/>
          <w:bCs/>
          <w:i/>
          <w:iCs/>
          <w:lang w:val="en-GB"/>
        </w:rPr>
        <w:t xml:space="preserve"> of Rel-15 Type-I MP codebook </w:t>
      </w:r>
      <w:r w:rsidR="004F4582">
        <w:rPr>
          <w:bCs/>
          <w:i/>
          <w:iCs/>
          <w:lang w:val="en-GB"/>
        </w:rPr>
        <w:t>can be considered.</w:t>
      </w:r>
    </w:p>
    <w:p w:rsidR="009B70BD" w:rsidRDefault="0051047F" w:rsidP="002A74A3">
      <w:pPr>
        <w:tabs>
          <w:tab w:val="left" w:pos="432"/>
        </w:tabs>
        <w:snapToGrid w:val="0"/>
        <w:spacing w:before="240" w:afterLines="50" w:after="120" w:line="240" w:lineRule="auto"/>
        <w:outlineLvl w:val="3"/>
        <w:rPr>
          <w:b/>
          <w:sz w:val="24"/>
          <w:szCs w:val="20"/>
        </w:rPr>
      </w:pPr>
      <w:r>
        <w:rPr>
          <w:b/>
          <w:bCs/>
          <w:sz w:val="21"/>
          <w:szCs w:val="21"/>
        </w:rPr>
        <w:lastRenderedPageBreak/>
        <w:t>2.2.1.2 Type-I refinement for RI = 1-4 targeting MU-MIMO</w:t>
      </w:r>
    </w:p>
    <w:p w:rsidR="009B70BD" w:rsidRDefault="0051047F">
      <w:pPr>
        <w:snapToGrid w:val="0"/>
        <w:spacing w:beforeLines="30" w:before="72" w:afterLines="30" w:after="72"/>
        <w:textAlignment w:val="baseline"/>
      </w:pPr>
      <w:r>
        <w:rPr>
          <w:rFonts w:hint="eastAsia"/>
        </w:rPr>
        <w:t xml:space="preserve">As well-known, Type-I codebook is designed for SU-MIMO. However, due to </w:t>
      </w:r>
      <w:r>
        <w:t>UE implementation complexity and higher report overhead</w:t>
      </w:r>
      <w:r>
        <w:rPr>
          <w:rFonts w:hint="eastAsia"/>
        </w:rPr>
        <w:t>, Type-II</w:t>
      </w:r>
      <w:r w:rsidR="00102A7D">
        <w:t>/</w:t>
      </w:r>
      <w:proofErr w:type="spellStart"/>
      <w:r>
        <w:rPr>
          <w:rFonts w:hint="eastAsia"/>
        </w:rPr>
        <w:t>eType</w:t>
      </w:r>
      <w:proofErr w:type="spellEnd"/>
      <w:r>
        <w:rPr>
          <w:rFonts w:hint="eastAsia"/>
        </w:rPr>
        <w:t xml:space="preserve">-II codebooks oriented for MU-MIMO have not be used commercially. To facilitate the deployment of MU-MIMO, </w:t>
      </w:r>
      <w:r w:rsidR="00FB238D">
        <w:t>scheme 3</w:t>
      </w:r>
      <w:r w:rsidR="003B0C13">
        <w:t xml:space="preserve"> (with opt 2 for W</w:t>
      </w:r>
      <w:r w:rsidR="003B0C13">
        <w:rPr>
          <w:vertAlign w:val="subscript"/>
        </w:rPr>
        <w:t xml:space="preserve">2 </w:t>
      </w:r>
      <w:r w:rsidR="003B0C13">
        <w:t>structure)</w:t>
      </w:r>
      <w:r>
        <w:rPr>
          <w:rFonts w:hint="eastAsia"/>
        </w:rPr>
        <w:t xml:space="preserve"> provides a potential solution. In </w:t>
      </w:r>
      <w:r w:rsidR="00FB238D">
        <w:t>scheme 3</w:t>
      </w:r>
      <w:r>
        <w:rPr>
          <w:rFonts w:hint="eastAsia"/>
        </w:rPr>
        <w:t xml:space="preserve">, the precoding matrix of each layer is based on a combination of multiple SD bases. </w:t>
      </w:r>
    </w:p>
    <w:p w:rsidR="009B70BD" w:rsidRDefault="0051047F" w:rsidP="002A74A3">
      <w:pPr>
        <w:numPr>
          <w:ilvl w:val="0"/>
          <w:numId w:val="13"/>
        </w:numPr>
        <w:snapToGrid w:val="0"/>
        <w:spacing w:beforeLines="50" w:before="120" w:afterLines="50" w:after="120" w:line="300" w:lineRule="auto"/>
      </w:pPr>
      <w:r>
        <w:rPr>
          <w:rFonts w:hint="eastAsia"/>
        </w:rPr>
        <w:t xml:space="preserve">Further, both the SD bases and combination coefficients can be determined in wideband level. Across the two types of polarization, the same combination coefficients can be used, and the difference can be reflected by inter-polarization information, e.g. inter-polarization phase. </w:t>
      </w:r>
      <w:r>
        <w:t xml:space="preserve">The precoding matrix for the </w:t>
      </w:r>
      <w:r>
        <w:rPr>
          <w:i/>
        </w:rPr>
        <w:t>l</w:t>
      </w:r>
      <w:r>
        <w:t>th layer can be expressed as</w:t>
      </w:r>
    </w:p>
    <w:p w:rsidR="009B70BD" w:rsidRDefault="00D2139D">
      <w:pPr>
        <w:pStyle w:val="aff2"/>
        <w:snapToGrid w:val="0"/>
        <w:spacing w:beforeLines="30" w:before="72" w:afterLines="30" w:after="72"/>
        <w:ind w:left="1120" w:firstLineChars="0" w:firstLine="0"/>
        <w:textAlignment w:val="baseline"/>
      </w:pPr>
      <m:oMathPara>
        <m:oMath>
          <m:sSup>
            <m:sSupPr>
              <m:ctrlPr>
                <w:rPr>
                  <w:rFonts w:ascii="Cambria Math" w:hAnsi="Cambria Math"/>
                  <w:i/>
                </w:rPr>
              </m:ctrlPr>
            </m:sSupPr>
            <m:e>
              <m:r>
                <w:rPr>
                  <w:rFonts w:ascii="Cambria Math" w:hAnsi="Cambria Math"/>
                </w:rPr>
                <m:t>W</m:t>
              </m:r>
            </m:e>
            <m:sup>
              <m:r>
                <w:rPr>
                  <w:rFonts w:ascii="Cambria Math" w:hAnsi="Cambria Math"/>
                </w:rPr>
                <m:t>l</m:t>
              </m:r>
            </m:sup>
          </m:sSup>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nary>
                      <m:naryPr>
                        <m:chr m:val="∑"/>
                        <m:limLoc m:val="undOvr"/>
                        <m:ctrlPr>
                          <w:rPr>
                            <w:rFonts w:ascii="Cambria Math" w:hAnsi="Cambria Math"/>
                            <w:i/>
                          </w:rPr>
                        </m:ctrlPr>
                      </m:naryPr>
                      <m:sub>
                        <m:r>
                          <w:rPr>
                            <w:rFonts w:ascii="Cambria Math" w:hAnsi="Cambria Math"/>
                          </w:rPr>
                          <m:t>i=0</m:t>
                        </m:r>
                      </m:sub>
                      <m:sup>
                        <m:r>
                          <w:rPr>
                            <w:rFonts w:ascii="Cambria Math" w:hAnsi="Cambria Math"/>
                          </w:rPr>
                          <m:t>L-1</m:t>
                        </m:r>
                      </m:sup>
                      <m:e>
                        <m:sSub>
                          <m:sSubPr>
                            <m:ctrlPr>
                              <w:rPr>
                                <w:rFonts w:ascii="Cambria Math" w:hAnsi="Cambria Math"/>
                                <w:i/>
                              </w:rPr>
                            </m:ctrlPr>
                          </m:sSubPr>
                          <m:e>
                            <m:r>
                              <w:rPr>
                                <w:rFonts w:ascii="Cambria Math" w:hAnsi="Cambria Math"/>
                              </w:rPr>
                              <m:t>v</m:t>
                            </m:r>
                          </m:e>
                          <m:sub>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2</m:t>
                                </m:r>
                              </m:sub>
                              <m:sup>
                                <m:d>
                                  <m:dPr>
                                    <m:ctrlPr>
                                      <w:rPr>
                                        <w:rFonts w:ascii="Cambria Math" w:hAnsi="Cambria Math"/>
                                        <w:i/>
                                      </w:rPr>
                                    </m:ctrlPr>
                                  </m:dPr>
                                  <m:e>
                                    <m:r>
                                      <w:rPr>
                                        <w:rFonts w:ascii="Cambria Math" w:hAnsi="Cambria Math"/>
                                      </w:rPr>
                                      <m:t>i</m:t>
                                    </m:r>
                                  </m:e>
                                </m:d>
                              </m:sup>
                            </m:sSubSup>
                          </m:sub>
                        </m:sSub>
                        <m:sSub>
                          <m:sSubPr>
                            <m:ctrlPr>
                              <w:rPr>
                                <w:rFonts w:ascii="Cambria Math" w:hAnsi="Cambria Math"/>
                                <w:i/>
                              </w:rPr>
                            </m:ctrlPr>
                          </m:sSubPr>
                          <m:e>
                            <m:r>
                              <w:rPr>
                                <w:rFonts w:ascii="Cambria Math" w:hAnsi="Cambria Math"/>
                              </w:rPr>
                              <m:t>a</m:t>
                            </m:r>
                          </m:e>
                          <m:sub>
                            <m:r>
                              <w:rPr>
                                <w:rFonts w:ascii="Cambria Math" w:hAnsi="Cambria Math"/>
                              </w:rPr>
                              <m:t>l, i</m:t>
                            </m:r>
                          </m:sub>
                        </m:sSub>
                      </m:e>
                    </m:nary>
                  </m:e>
                </m:m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θ</m:t>
                            </m:r>
                          </m:e>
                          <m:sub>
                            <m:r>
                              <w:rPr>
                                <w:rFonts w:ascii="Cambria Math" w:hAnsi="Cambria Math"/>
                              </w:rPr>
                              <m:t>l</m:t>
                            </m:r>
                          </m:sub>
                        </m:sSub>
                      </m:sup>
                    </m:sSup>
                    <m:nary>
                      <m:naryPr>
                        <m:chr m:val="∑"/>
                        <m:limLoc m:val="undOvr"/>
                        <m:ctrlPr>
                          <w:rPr>
                            <w:rFonts w:ascii="Cambria Math" w:hAnsi="Cambria Math"/>
                            <w:i/>
                          </w:rPr>
                        </m:ctrlPr>
                      </m:naryPr>
                      <m:sub>
                        <m:r>
                          <w:rPr>
                            <w:rFonts w:ascii="Cambria Math" w:hAnsi="Cambria Math"/>
                          </w:rPr>
                          <m:t>i=0</m:t>
                        </m:r>
                      </m:sub>
                      <m:sup>
                        <m:r>
                          <w:rPr>
                            <w:rFonts w:ascii="Cambria Math" w:hAnsi="Cambria Math"/>
                          </w:rPr>
                          <m:t>L-1</m:t>
                        </m:r>
                      </m:sup>
                      <m:e>
                        <m:sSub>
                          <m:sSubPr>
                            <m:ctrlPr>
                              <w:rPr>
                                <w:rFonts w:ascii="Cambria Math" w:hAnsi="Cambria Math"/>
                                <w:i/>
                              </w:rPr>
                            </m:ctrlPr>
                          </m:sSubPr>
                          <m:e>
                            <m:r>
                              <w:rPr>
                                <w:rFonts w:ascii="Cambria Math" w:hAnsi="Cambria Math"/>
                              </w:rPr>
                              <m:t>v</m:t>
                            </m:r>
                          </m:e>
                          <m:sub>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2</m:t>
                                </m:r>
                              </m:sub>
                              <m:sup>
                                <m:d>
                                  <m:dPr>
                                    <m:ctrlPr>
                                      <w:rPr>
                                        <w:rFonts w:ascii="Cambria Math" w:hAnsi="Cambria Math"/>
                                        <w:i/>
                                      </w:rPr>
                                    </m:ctrlPr>
                                  </m:dPr>
                                  <m:e>
                                    <m:r>
                                      <w:rPr>
                                        <w:rFonts w:ascii="Cambria Math" w:hAnsi="Cambria Math"/>
                                      </w:rPr>
                                      <m:t>i</m:t>
                                    </m:r>
                                  </m:e>
                                </m:d>
                              </m:sup>
                            </m:sSubSup>
                          </m:sub>
                        </m:sSub>
                        <m:sSub>
                          <m:sSubPr>
                            <m:ctrlPr>
                              <w:rPr>
                                <w:rFonts w:ascii="Cambria Math" w:hAnsi="Cambria Math"/>
                                <w:i/>
                              </w:rPr>
                            </m:ctrlPr>
                          </m:sSubPr>
                          <m:e>
                            <m:r>
                              <w:rPr>
                                <w:rFonts w:ascii="Cambria Math" w:hAnsi="Cambria Math"/>
                              </w:rPr>
                              <m:t>a</m:t>
                            </m:r>
                          </m:e>
                          <m:sub>
                            <m:r>
                              <w:rPr>
                                <w:rFonts w:ascii="Cambria Math" w:hAnsi="Cambria Math"/>
                              </w:rPr>
                              <m:t>l, i</m:t>
                            </m:r>
                          </m:sub>
                        </m:sSub>
                      </m:e>
                    </m:nary>
                  </m:e>
                </m:mr>
              </m:m>
            </m:e>
          </m:d>
        </m:oMath>
      </m:oMathPara>
    </w:p>
    <w:p w:rsidR="009B70BD" w:rsidRDefault="0051047F">
      <w:pPr>
        <w:pStyle w:val="aff2"/>
        <w:snapToGrid w:val="0"/>
        <w:spacing w:beforeLines="30" w:before="72" w:afterLines="30" w:after="72"/>
        <w:ind w:left="720" w:firstLineChars="0" w:firstLine="0"/>
        <w:textAlignment w:val="baseline"/>
      </w:pPr>
      <w:r>
        <w:t xml:space="preserve">where </w:t>
      </w:r>
      <m:oMath>
        <m:sSub>
          <m:sSubPr>
            <m:ctrlPr>
              <w:rPr>
                <w:rFonts w:ascii="Cambria Math" w:hAnsi="Cambria Math"/>
                <w:i/>
              </w:rPr>
            </m:ctrlPr>
          </m:sSubPr>
          <m:e>
            <m:r>
              <w:rPr>
                <w:rFonts w:ascii="Cambria Math" w:hAnsi="Cambria Math"/>
              </w:rPr>
              <m:t>v</m:t>
            </m:r>
          </m:e>
          <m:sub>
            <m:sSubSup>
              <m:sSubSupPr>
                <m:ctrlPr>
                  <w:rPr>
                    <w:rFonts w:ascii="Cambria Math" w:hAnsi="Cambria Math"/>
                    <w:i/>
                  </w:rPr>
                </m:ctrlPr>
              </m:sSubSupPr>
              <m:e>
                <m:r>
                  <w:rPr>
                    <w:rFonts w:ascii="Cambria Math" w:hAnsi="Cambria Math"/>
                  </w:rPr>
                  <m:t>m</m:t>
                </m:r>
              </m:e>
              <m:sub>
                <m:r>
                  <w:rPr>
                    <w:rFonts w:ascii="Cambria Math" w:hAnsi="Cambria Math"/>
                  </w:rPr>
                  <m:t>1</m:t>
                </m:r>
              </m:sub>
              <m:sup>
                <m:r>
                  <w:rPr>
                    <w:rFonts w:ascii="Cambria Math" w:hAnsi="Cambria Math"/>
                  </w:rPr>
                  <m:t>(i)</m:t>
                </m:r>
              </m:sup>
            </m:sSubSup>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2</m:t>
                </m:r>
              </m:sub>
              <m:sup>
                <m:r>
                  <w:rPr>
                    <w:rFonts w:ascii="Cambria Math" w:hAnsi="Cambria Math"/>
                  </w:rPr>
                  <m:t>(i)</m:t>
                </m:r>
              </m:sup>
            </m:sSubSup>
          </m:sub>
        </m:sSub>
      </m:oMath>
      <w:r>
        <w:t xml:space="preserve"> is the wideband SD basis,</w:t>
      </w:r>
      <m:oMath>
        <m:sSub>
          <m:sSubPr>
            <m:ctrlPr>
              <w:rPr>
                <w:rFonts w:ascii="Cambria Math" w:hAnsi="Cambria Math"/>
                <w:i/>
              </w:rPr>
            </m:ctrlPr>
          </m:sSubPr>
          <m:e>
            <m:r>
              <w:rPr>
                <w:rFonts w:ascii="Cambria Math" w:hAnsi="Cambria Math"/>
              </w:rPr>
              <m:t xml:space="preserve"> a</m:t>
            </m:r>
          </m:e>
          <m:sub>
            <m:r>
              <w:rPr>
                <w:rFonts w:ascii="Cambria Math" w:hAnsi="Cambria Math"/>
              </w:rPr>
              <m:t>l, i</m:t>
            </m:r>
          </m:sub>
        </m:sSub>
      </m:oMath>
      <w:r>
        <w:rPr>
          <w:rFonts w:hint="eastAsia"/>
        </w:rPr>
        <w:t xml:space="preserve"> </w:t>
      </w:r>
      <w:r>
        <w:t xml:space="preserve">is the wideband combination coefficient, and </w:t>
      </w:r>
      <m:oMath>
        <m:sSub>
          <m:sSubPr>
            <m:ctrlPr>
              <w:rPr>
                <w:rFonts w:ascii="Cambria Math" w:hAnsi="Cambria Math"/>
              </w:rPr>
            </m:ctrlPr>
          </m:sSubPr>
          <m:e>
            <m:r>
              <w:rPr>
                <w:rFonts w:ascii="Cambria Math" w:hAnsi="Cambria Math"/>
              </w:rPr>
              <m:t>θ</m:t>
            </m:r>
          </m:e>
          <m:sub>
            <m:r>
              <w:rPr>
                <w:rFonts w:ascii="Cambria Math" w:hAnsi="Cambria Math"/>
              </w:rPr>
              <m:t>l</m:t>
            </m:r>
          </m:sub>
        </m:sSub>
      </m:oMath>
      <w:r>
        <w:rPr>
          <w:rFonts w:hint="eastAsia"/>
        </w:rPr>
        <w:t xml:space="preserve"> </w:t>
      </w:r>
      <w:r>
        <w:t xml:space="preserve">is the inter-polarization </w:t>
      </w:r>
      <w:proofErr w:type="gramStart"/>
      <w:r>
        <w:t>phase.</w:t>
      </w:r>
      <w:proofErr w:type="gramEnd"/>
    </w:p>
    <w:p w:rsidR="009B70BD" w:rsidRDefault="0051047F" w:rsidP="002A74A3">
      <w:pPr>
        <w:numPr>
          <w:ilvl w:val="0"/>
          <w:numId w:val="13"/>
        </w:numPr>
        <w:snapToGrid w:val="0"/>
        <w:spacing w:beforeLines="50" w:before="120" w:afterLines="50" w:after="120" w:line="300" w:lineRule="auto"/>
      </w:pPr>
      <w:r>
        <w:rPr>
          <w:rFonts w:hint="eastAsia"/>
        </w:rPr>
        <w:t xml:space="preserve">Generally, </w:t>
      </w:r>
      <w:r w:rsidR="003B0C13">
        <w:t>scheme 3</w:t>
      </w:r>
      <w:r>
        <w:rPr>
          <w:rFonts w:hint="eastAsia"/>
        </w:rPr>
        <w:t xml:space="preserve"> aims to enable MU-MIMO transmission with acceptable CSI feedback overhead. M</w:t>
      </w:r>
      <w:r>
        <w:t xml:space="preserve">ore importantly, compared with </w:t>
      </w:r>
      <w:proofErr w:type="spellStart"/>
      <w:r>
        <w:t>eType</w:t>
      </w:r>
      <w:proofErr w:type="spellEnd"/>
      <w:r>
        <w:rPr>
          <w:rFonts w:hint="eastAsia"/>
        </w:rPr>
        <w:t>-</w:t>
      </w:r>
      <w:r>
        <w:t xml:space="preserve">II codebook, per-subband SVD on </w:t>
      </w:r>
      <w:proofErr w:type="spellStart"/>
      <w:r>
        <w:t>Rxx</w:t>
      </w:r>
      <w:proofErr w:type="spellEnd"/>
      <w:r>
        <w:t xml:space="preserve"> can be prevented, and then we only need to have a wideband SVD. That means that the UE implementation complexity can be reduced significantly.</w:t>
      </w:r>
    </w:p>
    <w:p w:rsidR="009B70BD" w:rsidRDefault="0051047F">
      <w:pPr>
        <w:snapToGrid w:val="0"/>
        <w:spacing w:beforeLines="30" w:before="72" w:afterLines="30" w:after="72"/>
        <w:textAlignment w:val="baseline"/>
      </w:pPr>
      <w:r>
        <w:t xml:space="preserve">After that, </w:t>
      </w:r>
      <w:r>
        <w:rPr>
          <w:rFonts w:hint="eastAsia"/>
        </w:rPr>
        <w:t xml:space="preserve">SLS </w:t>
      </w:r>
      <w:r>
        <w:t xml:space="preserve">evaluation </w:t>
      </w:r>
      <w:r>
        <w:rPr>
          <w:rFonts w:hint="eastAsia"/>
        </w:rPr>
        <w:t xml:space="preserve">is performed to compare </w:t>
      </w:r>
      <w:r w:rsidR="00FB238D">
        <w:t xml:space="preserve">the performance of scheme 3 and </w:t>
      </w:r>
      <w:r>
        <w:rPr>
          <w:rFonts w:hint="eastAsia"/>
        </w:rPr>
        <w:t>Type-I</w:t>
      </w:r>
      <w:r w:rsidR="00FB238D">
        <w:t>/</w:t>
      </w:r>
      <w:proofErr w:type="spellStart"/>
      <w:r>
        <w:rPr>
          <w:rFonts w:hint="eastAsia"/>
        </w:rPr>
        <w:t>eType</w:t>
      </w:r>
      <w:proofErr w:type="spellEnd"/>
      <w:r>
        <w:rPr>
          <w:rFonts w:hint="eastAsia"/>
        </w:rPr>
        <w:t xml:space="preserve">-II codebooks. The results in Figure </w:t>
      </w:r>
      <w:r w:rsidR="00FB238D">
        <w:t>3</w:t>
      </w:r>
      <w:r w:rsidR="00121818">
        <w:t>. It</w:t>
      </w:r>
      <w:r>
        <w:rPr>
          <w:rFonts w:hint="eastAsia"/>
        </w:rPr>
        <w:t xml:space="preserve"> show</w:t>
      </w:r>
      <w:r w:rsidR="00121818">
        <w:t>s</w:t>
      </w:r>
      <w:r>
        <w:rPr>
          <w:rFonts w:hint="eastAsia"/>
        </w:rPr>
        <w:t xml:space="preserve"> that </w:t>
      </w:r>
      <w:r w:rsidR="00FB238D">
        <w:t>scheme 3</w:t>
      </w:r>
      <w:r>
        <w:rPr>
          <w:rFonts w:hint="eastAsia"/>
        </w:rPr>
        <w:t xml:space="preserve"> provides huge throughput gain for cell-edge UE and significant throughput gain in average compared to Type-I codebook. Approximately, the performance</w:t>
      </w:r>
      <w:r w:rsidR="00B21F1B">
        <w:t xml:space="preserve"> of</w:t>
      </w:r>
      <w:r>
        <w:rPr>
          <w:rFonts w:hint="eastAsia"/>
        </w:rPr>
        <w:t xml:space="preserve"> </w:t>
      </w:r>
      <w:r w:rsidR="00FB238D">
        <w:t>scheme 3</w:t>
      </w:r>
      <w:r>
        <w:rPr>
          <w:rFonts w:hint="eastAsia"/>
        </w:rPr>
        <w:t xml:space="preserve"> is at the middle ground between</w:t>
      </w:r>
      <w:r w:rsidR="00B82AA9">
        <w:t xml:space="preserve"> </w:t>
      </w:r>
      <w:r w:rsidR="00551AF8">
        <w:t>that of</w:t>
      </w:r>
      <w:r>
        <w:rPr>
          <w:rFonts w:hint="eastAsia"/>
        </w:rPr>
        <w:t xml:space="preserve"> Type-I and </w:t>
      </w:r>
      <w:proofErr w:type="spellStart"/>
      <w:r>
        <w:rPr>
          <w:rFonts w:hint="eastAsia"/>
        </w:rPr>
        <w:t>eType</w:t>
      </w:r>
      <w:proofErr w:type="spellEnd"/>
      <w:r>
        <w:rPr>
          <w:rFonts w:hint="eastAsia"/>
        </w:rPr>
        <w:t>-II codebooks.</w:t>
      </w:r>
    </w:p>
    <w:p w:rsidR="009B70BD" w:rsidRDefault="00782014">
      <w:pPr>
        <w:tabs>
          <w:tab w:val="left" w:pos="7938"/>
        </w:tabs>
        <w:snapToGrid w:val="0"/>
        <w:spacing w:beforeLines="50" w:before="120" w:afterLines="50" w:after="120" w:line="300" w:lineRule="auto"/>
        <w:jc w:val="center"/>
      </w:pPr>
      <w:r w:rsidRPr="00782014">
        <w:rPr>
          <w:noProof/>
        </w:rPr>
        <w:t xml:space="preserve"> </w:t>
      </w:r>
      <w:r>
        <w:rPr>
          <w:noProof/>
        </w:rPr>
        <w:drawing>
          <wp:inline distT="0" distB="0" distL="0" distR="0" wp14:anchorId="7709D5E8" wp14:editId="339F796B">
            <wp:extent cx="2852928" cy="1733702"/>
            <wp:effectExtent l="0" t="0" r="508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B70BD" w:rsidRDefault="0051047F">
      <w:pPr>
        <w:snapToGrid w:val="0"/>
        <w:spacing w:beforeLines="30" w:before="72" w:afterLines="30" w:after="72" w:line="300" w:lineRule="auto"/>
        <w:jc w:val="center"/>
        <w:textAlignment w:val="center"/>
      </w:pPr>
      <w:r>
        <w:rPr>
          <w:rFonts w:hint="eastAsia"/>
          <w:b/>
          <w:bCs/>
        </w:rPr>
        <w:t xml:space="preserve">Figure </w:t>
      </w:r>
      <w:r w:rsidR="00FB238D">
        <w:rPr>
          <w:b/>
          <w:bCs/>
        </w:rPr>
        <w:t>3</w:t>
      </w:r>
      <w:r>
        <w:rPr>
          <w:rFonts w:hint="eastAsia"/>
        </w:rPr>
        <w:t xml:space="preserve"> DL throughput gain (64 ports) in MU-MIMO scenario with </w:t>
      </w:r>
      <w:r w:rsidR="00C0033F">
        <w:t>scheme 3</w:t>
      </w:r>
      <w:r>
        <w:rPr>
          <w:rFonts w:hint="eastAsia"/>
        </w:rPr>
        <w:t xml:space="preserve"> and </w:t>
      </w:r>
      <w:r w:rsidR="0052072C">
        <w:rPr>
          <w:rFonts w:hint="eastAsia"/>
        </w:rPr>
        <w:t>Type-I</w:t>
      </w:r>
      <w:r w:rsidR="0052072C">
        <w:t>/</w:t>
      </w:r>
      <w:proofErr w:type="spellStart"/>
      <w:r w:rsidR="00C0033F">
        <w:t>e</w:t>
      </w:r>
      <w:r>
        <w:rPr>
          <w:rFonts w:hint="eastAsia"/>
        </w:rPr>
        <w:t>Type</w:t>
      </w:r>
      <w:proofErr w:type="spellEnd"/>
      <w:r w:rsidR="00C0033F">
        <w:t>-</w:t>
      </w:r>
      <w:r>
        <w:rPr>
          <w:rFonts w:hint="eastAsia"/>
        </w:rPr>
        <w:t>II codebooks</w:t>
      </w:r>
    </w:p>
    <w:p w:rsidR="009B70BD" w:rsidRDefault="0051047F">
      <w:pPr>
        <w:snapToGrid w:val="0"/>
        <w:spacing w:beforeLines="30" w:before="72" w:afterLines="30" w:after="72" w:line="300" w:lineRule="auto"/>
        <w:textAlignment w:val="center"/>
        <w:rPr>
          <w:i/>
          <w:iCs/>
        </w:rPr>
      </w:pPr>
      <w:r>
        <w:rPr>
          <w:rFonts w:hint="eastAsia"/>
          <w:b/>
          <w:bCs/>
          <w:i/>
          <w:iCs/>
        </w:rPr>
        <w:t xml:space="preserve">Observation </w:t>
      </w:r>
      <w:r w:rsidR="00FB238D">
        <w:rPr>
          <w:b/>
          <w:bCs/>
          <w:i/>
          <w:iCs/>
        </w:rPr>
        <w:t>3</w:t>
      </w:r>
      <w:r>
        <w:rPr>
          <w:rFonts w:hint="eastAsia"/>
          <w:b/>
          <w:bCs/>
          <w:i/>
          <w:iCs/>
        </w:rPr>
        <w:t>:</w:t>
      </w:r>
      <w:r>
        <w:rPr>
          <w:rFonts w:hint="eastAsia"/>
          <w:i/>
          <w:iCs/>
        </w:rPr>
        <w:t xml:space="preserve"> In MU-MIMO scenario, </w:t>
      </w:r>
      <w:r w:rsidR="00FB238D">
        <w:rPr>
          <w:i/>
          <w:iCs/>
        </w:rPr>
        <w:t>scheme 3</w:t>
      </w:r>
      <w:r>
        <w:rPr>
          <w:rFonts w:hint="eastAsia"/>
          <w:i/>
          <w:iCs/>
        </w:rPr>
        <w:t xml:space="preserve"> can provide huge throughput gain for cell-edge UEs and significant throughput gain in average compared to Type-I codebook.</w:t>
      </w:r>
    </w:p>
    <w:p w:rsidR="009B70BD" w:rsidRDefault="0051047F">
      <w:pPr>
        <w:snapToGrid w:val="0"/>
        <w:spacing w:beforeLines="50" w:before="120" w:afterLines="50" w:after="120" w:line="300" w:lineRule="auto"/>
        <w:rPr>
          <w:bCs/>
          <w:i/>
          <w:iCs/>
        </w:rPr>
      </w:pPr>
      <w:r>
        <w:rPr>
          <w:rFonts w:hint="eastAsia"/>
          <w:b/>
          <w:bCs/>
          <w:i/>
          <w:iCs/>
        </w:rPr>
        <w:t xml:space="preserve">Proposal </w:t>
      </w:r>
      <w:r w:rsidR="00FB238D">
        <w:rPr>
          <w:b/>
          <w:bCs/>
          <w:i/>
          <w:iCs/>
        </w:rPr>
        <w:t>8</w:t>
      </w:r>
      <w:r>
        <w:rPr>
          <w:rFonts w:hint="eastAsia"/>
          <w:b/>
          <w:bCs/>
          <w:i/>
          <w:iCs/>
        </w:rPr>
        <w:t>:</w:t>
      </w:r>
      <w:r>
        <w:rPr>
          <w:rFonts w:hint="eastAsia"/>
          <w:i/>
          <w:iCs/>
        </w:rPr>
        <w:t xml:space="preserve"> </w:t>
      </w:r>
      <w:r>
        <w:rPr>
          <w:rFonts w:hint="eastAsia"/>
          <w:bCs/>
          <w:i/>
          <w:iCs/>
        </w:rPr>
        <w:t>Regarding Rel-19 Type-I and Type-II codebook refinement</w:t>
      </w:r>
      <w:r>
        <w:rPr>
          <w:bCs/>
          <w:i/>
          <w:iCs/>
        </w:rPr>
        <w:t>, support scheme 3 for RI = 1~4 Type-I codebook design targeting MU-MIMO.</w:t>
      </w:r>
    </w:p>
    <w:p w:rsidR="009B70BD" w:rsidRDefault="0051047F">
      <w:pPr>
        <w:numPr>
          <w:ilvl w:val="0"/>
          <w:numId w:val="13"/>
        </w:numPr>
        <w:snapToGrid w:val="0"/>
        <w:spacing w:beforeLines="50" w:before="120" w:afterLines="50" w:after="120" w:line="300" w:lineRule="auto"/>
        <w:rPr>
          <w:bCs/>
          <w:i/>
          <w:iCs/>
          <w:kern w:val="2"/>
          <w:szCs w:val="20"/>
        </w:rPr>
      </w:pPr>
      <w:r>
        <w:rPr>
          <w:bCs/>
          <w:i/>
          <w:iCs/>
          <w:kern w:val="2"/>
          <w:szCs w:val="20"/>
        </w:rPr>
        <w:t>Regarding W</w:t>
      </w:r>
      <w:r>
        <w:rPr>
          <w:bCs/>
          <w:i/>
          <w:iCs/>
          <w:kern w:val="2"/>
          <w:szCs w:val="20"/>
          <w:vertAlign w:val="subscript"/>
        </w:rPr>
        <w:t xml:space="preserve">2 </w:t>
      </w:r>
      <w:r>
        <w:rPr>
          <w:bCs/>
          <w:i/>
          <w:iCs/>
          <w:kern w:val="2"/>
          <w:szCs w:val="20"/>
        </w:rPr>
        <w:t xml:space="preserve">structure, support opt 2, i.e., </w:t>
      </w:r>
      <w:r>
        <w:rPr>
          <w:bCs/>
          <w:i/>
          <w:kern w:val="2"/>
          <w:szCs w:val="20"/>
          <w:lang w:val="en-GB"/>
        </w:rPr>
        <w:t>layer-specific wideband SD basis linear combination and inter-polarization scaling coefficient.</w:t>
      </w:r>
    </w:p>
    <w:p w:rsidR="009B70BD" w:rsidRDefault="0051047F" w:rsidP="002A74A3">
      <w:pPr>
        <w:snapToGrid w:val="0"/>
        <w:spacing w:beforeLines="30" w:before="72" w:afterLines="30" w:after="72" w:line="300" w:lineRule="auto"/>
        <w:textAlignment w:val="center"/>
        <w:outlineLvl w:val="2"/>
        <w:rPr>
          <w:bCs/>
          <w:kern w:val="2"/>
          <w:szCs w:val="20"/>
        </w:rPr>
      </w:pPr>
      <w:r>
        <w:rPr>
          <w:b/>
          <w:bCs/>
          <w:sz w:val="21"/>
          <w:szCs w:val="21"/>
        </w:rPr>
        <w:lastRenderedPageBreak/>
        <w:t>2.2.2 Type-I refinement for RI = 5-8</w:t>
      </w:r>
    </w:p>
    <w:p w:rsidR="009B70BD" w:rsidRDefault="0051047F">
      <w:pPr>
        <w:snapToGrid w:val="0"/>
        <w:spacing w:beforeLines="50" w:before="120" w:afterLines="50" w:after="120" w:line="300" w:lineRule="auto"/>
      </w:pPr>
      <w:r>
        <w:rPr>
          <w:rFonts w:hint="eastAsia"/>
          <w:bCs/>
          <w:kern w:val="2"/>
          <w:szCs w:val="20"/>
        </w:rPr>
        <w:t xml:space="preserve">In legacy Type-I codebook, the SD basis offsets of different layers is fixed for </w:t>
      </w:r>
      <w:r w:rsidR="00B86108">
        <w:rPr>
          <w:bCs/>
          <w:kern w:val="2"/>
          <w:szCs w:val="20"/>
        </w:rPr>
        <w:t>R</w:t>
      </w:r>
      <w:r w:rsidR="00B86108">
        <w:rPr>
          <w:rFonts w:hint="eastAsia"/>
          <w:bCs/>
          <w:kern w:val="2"/>
          <w:szCs w:val="20"/>
        </w:rPr>
        <w:t>I = 5-8</w:t>
      </w:r>
      <w:r>
        <w:rPr>
          <w:rFonts w:hint="eastAsia"/>
          <w:bCs/>
          <w:kern w:val="2"/>
          <w:szCs w:val="20"/>
        </w:rPr>
        <w:t xml:space="preserve">, which cannot effectively utilize the spatial dimension information of the channel. As the number of antenna ports increases, the spatial distribution of channels becomes sparser, making this issue more significant. </w:t>
      </w:r>
      <w:r>
        <w:rPr>
          <w:rFonts w:hint="eastAsia"/>
        </w:rPr>
        <w:t xml:space="preserve">One straightforward solution to address this issue is to select the SD bases independently for different </w:t>
      </w:r>
      <w:r w:rsidR="00160E08">
        <w:t>layers (</w:t>
      </w:r>
      <w:r>
        <w:rPr>
          <w:rFonts w:hint="eastAsia"/>
        </w:rPr>
        <w:t xml:space="preserve">e.g. reuse the structure of RI=1-4). </w:t>
      </w:r>
    </w:p>
    <w:p w:rsidR="009B70BD" w:rsidRDefault="0051047F">
      <w:pPr>
        <w:snapToGrid w:val="0"/>
        <w:spacing w:beforeLines="50" w:before="120" w:afterLines="50" w:after="120" w:line="300" w:lineRule="auto"/>
      </w:pPr>
      <w:r>
        <w:rPr>
          <w:rFonts w:hint="eastAsia"/>
        </w:rPr>
        <w:t xml:space="preserve">However, independent selection of SD basis for each layer for </w:t>
      </w:r>
      <w:r w:rsidR="00F2125E">
        <w:t>R</w:t>
      </w:r>
      <w:r w:rsidR="00F2125E">
        <w:rPr>
          <w:rFonts w:hint="eastAsia"/>
          <w:bCs/>
          <w:kern w:val="2"/>
          <w:szCs w:val="20"/>
        </w:rPr>
        <w:t>I = 5-8</w:t>
      </w:r>
      <w:r>
        <w:rPr>
          <w:rFonts w:hint="eastAsia"/>
        </w:rPr>
        <w:t xml:space="preserve"> will result in a significant increase in overhead. In order to solve this issue, </w:t>
      </w:r>
      <w:r w:rsidR="004E4C6E">
        <w:rPr>
          <w:rFonts w:hint="eastAsia"/>
          <w:bCs/>
          <w:kern w:val="2"/>
          <w:szCs w:val="20"/>
        </w:rPr>
        <w:t>in legacy Type-I codebook</w:t>
      </w:r>
      <w:r w:rsidR="004E4C6E">
        <w:rPr>
          <w:bCs/>
          <w:kern w:val="2"/>
          <w:szCs w:val="20"/>
        </w:rPr>
        <w:t>, one</w:t>
      </w:r>
      <w:r w:rsidR="004E4C6E">
        <w:rPr>
          <w:rFonts w:hint="eastAsia"/>
          <w:bCs/>
          <w:kern w:val="2"/>
          <w:szCs w:val="20"/>
        </w:rPr>
        <w:t xml:space="preserve"> </w:t>
      </w:r>
      <w:r>
        <w:rPr>
          <w:rFonts w:hint="eastAsia"/>
          <w:bCs/>
          <w:kern w:val="2"/>
          <w:szCs w:val="20"/>
        </w:rPr>
        <w:t xml:space="preserve">common SD basis is </w:t>
      </w:r>
      <w:r w:rsidR="0075364C">
        <w:rPr>
          <w:bCs/>
          <w:kern w:val="2"/>
          <w:szCs w:val="20"/>
        </w:rPr>
        <w:t>applied to two layers</w:t>
      </w:r>
      <w:r>
        <w:rPr>
          <w:rFonts w:hint="eastAsia"/>
          <w:bCs/>
          <w:kern w:val="2"/>
          <w:szCs w:val="20"/>
        </w:rPr>
        <w:t>, and layer multiplexing via orthogonal polarization co-phasing</w:t>
      </w:r>
      <w:r w:rsidR="004E4C6E">
        <w:rPr>
          <w:bCs/>
          <w:kern w:val="2"/>
          <w:szCs w:val="20"/>
        </w:rPr>
        <w:t xml:space="preserve"> is adopted</w:t>
      </w:r>
      <w:r>
        <w:rPr>
          <w:rFonts w:hint="eastAsia"/>
          <w:bCs/>
          <w:kern w:val="2"/>
          <w:szCs w:val="20"/>
        </w:rPr>
        <w:t xml:space="preserve"> for the </w:t>
      </w:r>
      <w:r w:rsidR="004E4C6E">
        <w:rPr>
          <w:bCs/>
          <w:kern w:val="2"/>
          <w:szCs w:val="20"/>
        </w:rPr>
        <w:t>two layers</w:t>
      </w:r>
      <w:r>
        <w:rPr>
          <w:rFonts w:hint="eastAsia"/>
          <w:bCs/>
          <w:kern w:val="2"/>
          <w:szCs w:val="20"/>
        </w:rPr>
        <w:t>. We can reuse this design for Type-I refinement for RI = 5-8. For instance, the following SD</w:t>
      </w:r>
      <w:r>
        <w:rPr>
          <w:rFonts w:hint="eastAsia"/>
        </w:rPr>
        <w:t xml:space="preserve"> basis selection and multiplexing procedure can be adopted</w:t>
      </w:r>
      <w:r>
        <w:rPr>
          <w:rFonts w:hint="eastAsia"/>
        </w:rPr>
        <w:t>：</w:t>
      </w:r>
    </w:p>
    <w:p w:rsidR="009B70BD" w:rsidRDefault="0051047F">
      <w:pPr>
        <w:numPr>
          <w:ilvl w:val="0"/>
          <w:numId w:val="13"/>
        </w:numPr>
        <w:snapToGrid w:val="0"/>
        <w:spacing w:beforeLines="50" w:before="120" w:afterLines="50" w:after="120" w:line="300" w:lineRule="auto"/>
      </w:pPr>
      <w:r>
        <w:rPr>
          <w:rFonts w:hint="eastAsia"/>
        </w:rPr>
        <w:t xml:space="preserve">Step 1: select a pair of indices </w:t>
      </w:r>
      <m:oMath>
        <m:r>
          <m:rPr>
            <m:sty m:val="p"/>
          </m:rPr>
          <w:rPr>
            <w:rFonts w:ascii="Cambria Math" w:hAnsi="Cambria Math" w:hint="eastAsia"/>
          </w:rPr>
          <m:t>(</m:t>
        </m:r>
        <m:sSub>
          <m:sSubPr>
            <m:ctrlPr>
              <w:rPr>
                <w:rFonts w:ascii="Cambria Math" w:hAnsi="Cambria Math" w:hint="eastAsia"/>
              </w:rPr>
            </m:ctrlPr>
          </m:sSubPr>
          <m:e>
            <m:r>
              <w:rPr>
                <w:rFonts w:ascii="Cambria Math" w:hAnsi="Cambria Math"/>
              </w:rPr>
              <m:t>q</m:t>
            </m:r>
          </m:e>
          <m:sub>
            <m:r>
              <m:rPr>
                <m:sty m:val="p"/>
              </m:rPr>
              <w:rPr>
                <w:rFonts w:ascii="Cambria Math" w:hAnsi="Cambria Math"/>
              </w:rPr>
              <m:t>1</m:t>
            </m:r>
          </m:sub>
        </m:sSub>
        <m:r>
          <m:rPr>
            <m:sty m:val="p"/>
          </m:rPr>
          <w:rPr>
            <w:rFonts w:ascii="Cambria Math" w:hAnsi="Cambria Math" w:hint="eastAsia"/>
          </w:rPr>
          <m:t xml:space="preserve">, </m:t>
        </m:r>
        <m:sSub>
          <m:sSubPr>
            <m:ctrlPr>
              <w:rPr>
                <w:rFonts w:ascii="Cambria Math" w:hAnsi="Cambria Math" w:hint="eastAsia"/>
              </w:rPr>
            </m:ctrlPr>
          </m:sSubPr>
          <m:e>
            <m:r>
              <w:rPr>
                <w:rFonts w:ascii="Cambria Math" w:hAnsi="Cambria Math"/>
              </w:rPr>
              <m:t>q</m:t>
            </m:r>
          </m:e>
          <m:sub>
            <m:r>
              <m:rPr>
                <m:sty m:val="p"/>
              </m:rPr>
              <w:rPr>
                <w:rFonts w:ascii="Cambria Math" w:hAnsi="Cambria Math"/>
              </w:rPr>
              <m:t>2</m:t>
            </m:r>
          </m:sub>
        </m:sSub>
        <m:r>
          <m:rPr>
            <m:sty m:val="p"/>
          </m:rPr>
          <w:rPr>
            <w:rFonts w:ascii="Cambria Math" w:hAnsi="Cambria Math" w:hint="eastAsia"/>
          </w:rPr>
          <m:t>)</m:t>
        </m:r>
      </m:oMath>
      <w:r>
        <w:rPr>
          <w:rFonts w:hint="eastAsia"/>
        </w:rPr>
        <w:t>;</w:t>
      </w:r>
    </w:p>
    <w:p w:rsidR="009B70BD" w:rsidRDefault="0051047F">
      <w:pPr>
        <w:numPr>
          <w:ilvl w:val="0"/>
          <w:numId w:val="13"/>
        </w:numPr>
        <w:snapToGrid w:val="0"/>
        <w:spacing w:beforeLines="50" w:before="120" w:afterLines="50" w:after="120" w:line="300" w:lineRule="auto"/>
      </w:pPr>
      <w:r>
        <w:rPr>
          <w:rFonts w:hint="eastAsia"/>
        </w:rPr>
        <w:t xml:space="preserve">Step 2: independently select </w:t>
      </w:r>
      <m:oMath>
        <m:r>
          <w:rPr>
            <w:rFonts w:ascii="Cambria Math" w:hAnsi="Cambria Math"/>
          </w:rPr>
          <m:t>L</m:t>
        </m:r>
        <m:r>
          <m:rPr>
            <m:sty m:val="p"/>
          </m:rPr>
          <w:rPr>
            <w:rFonts w:ascii="Cambria Math" w:hAnsi="Cambria Math"/>
          </w:rPr>
          <m:t>=</m:t>
        </m:r>
        <m:d>
          <m:dPr>
            <m:begChr m:val="⌈"/>
            <m:endChr m:val="⌉"/>
            <m:ctrlPr>
              <w:rPr>
                <w:rFonts w:ascii="Cambria Math" w:hAnsi="Cambria Math"/>
                <w:bCs/>
                <w:iCs/>
                <w:kern w:val="2"/>
                <w:szCs w:val="20"/>
              </w:rPr>
            </m:ctrlPr>
          </m:dPr>
          <m:e>
            <m:f>
              <m:fPr>
                <m:type m:val="lin"/>
                <m:ctrlPr>
                  <w:rPr>
                    <w:rFonts w:ascii="Cambria Math" w:hAnsi="Cambria Math"/>
                    <w:bCs/>
                    <w:i/>
                    <w:iCs/>
                    <w:kern w:val="2"/>
                    <w:szCs w:val="20"/>
                  </w:rPr>
                </m:ctrlPr>
              </m:fPr>
              <m:num>
                <m:r>
                  <w:rPr>
                    <w:rFonts w:ascii="Cambria Math" w:hAnsi="Cambria Math"/>
                    <w:kern w:val="2"/>
                    <w:szCs w:val="20"/>
                  </w:rPr>
                  <m:t>v</m:t>
                </m:r>
              </m:num>
              <m:den>
                <m:r>
                  <w:rPr>
                    <w:rFonts w:ascii="Cambria Math" w:hAnsi="Cambria Math"/>
                    <w:kern w:val="2"/>
                    <w:szCs w:val="20"/>
                  </w:rPr>
                  <m:t>2</m:t>
                </m:r>
              </m:den>
            </m:f>
          </m:e>
        </m:d>
      </m:oMath>
      <w:r>
        <w:rPr>
          <w:rFonts w:hint="eastAsia"/>
        </w:rPr>
        <w:t xml:space="preserve"> SD bases</w:t>
      </w:r>
      <w:r w:rsidR="0075364C">
        <w:t xml:space="preserve"> for RI = </w:t>
      </w:r>
      <w:r w:rsidR="0075364C">
        <w:rPr>
          <w:i/>
        </w:rPr>
        <w:t>v</w:t>
      </w:r>
      <w:r w:rsidR="0075364C">
        <w:t>;</w:t>
      </w:r>
    </w:p>
    <w:p w:rsidR="009B70BD" w:rsidRDefault="0051047F">
      <w:pPr>
        <w:numPr>
          <w:ilvl w:val="1"/>
          <w:numId w:val="13"/>
        </w:numPr>
        <w:tabs>
          <w:tab w:val="left" w:pos="420"/>
        </w:tabs>
        <w:snapToGrid w:val="0"/>
        <w:spacing w:beforeLines="50" w:before="120" w:afterLines="50" w:after="120" w:line="300" w:lineRule="auto"/>
        <w:rPr>
          <w:bCs/>
          <w:kern w:val="2"/>
          <w:szCs w:val="20"/>
        </w:rPr>
      </w:pPr>
      <w:r>
        <w:rPr>
          <w:rFonts w:hint="eastAsia"/>
          <w:bCs/>
          <w:kern w:val="2"/>
          <w:szCs w:val="20"/>
        </w:rPr>
        <w:t>The L SD bases are selected from N</w:t>
      </w:r>
      <w:r w:rsidRPr="002A74A3">
        <w:rPr>
          <w:bCs/>
          <w:kern w:val="2"/>
          <w:szCs w:val="20"/>
          <w:vertAlign w:val="subscript"/>
        </w:rPr>
        <w:t>1</w:t>
      </w:r>
      <w:r>
        <w:rPr>
          <w:rFonts w:hint="eastAsia"/>
          <w:bCs/>
          <w:kern w:val="2"/>
          <w:szCs w:val="20"/>
        </w:rPr>
        <w:t>N2 orthogonal SD base via a combination number</w:t>
      </w:r>
    </w:p>
    <w:p w:rsidR="009B70BD" w:rsidRDefault="0051047F">
      <w:pPr>
        <w:numPr>
          <w:ilvl w:val="1"/>
          <w:numId w:val="13"/>
        </w:numPr>
        <w:tabs>
          <w:tab w:val="left" w:pos="420"/>
        </w:tabs>
        <w:snapToGrid w:val="0"/>
        <w:spacing w:beforeLines="50" w:before="120" w:afterLines="50" w:after="120" w:line="300" w:lineRule="auto"/>
        <w:rPr>
          <w:bCs/>
          <w:kern w:val="2"/>
          <w:szCs w:val="20"/>
        </w:rPr>
      </w:pPr>
      <w:r>
        <w:rPr>
          <w:rFonts w:hint="eastAsia"/>
          <w:bCs/>
          <w:kern w:val="2"/>
          <w:szCs w:val="20"/>
        </w:rPr>
        <w:t>One indicator of log2(</w:t>
      </w:r>
      <w:r w:rsidRPr="002A74A3">
        <w:rPr>
          <w:bCs/>
          <w:i/>
          <w:kern w:val="2"/>
          <w:szCs w:val="20"/>
        </w:rPr>
        <w:t>L</w:t>
      </w:r>
      <w:r>
        <w:rPr>
          <w:rFonts w:hint="eastAsia"/>
          <w:bCs/>
          <w:kern w:val="2"/>
          <w:szCs w:val="20"/>
        </w:rPr>
        <w:t>) bits to indicate which SD basis is used for only one layer</w:t>
      </w:r>
    </w:p>
    <w:p w:rsidR="009B70BD" w:rsidRDefault="0051047F">
      <w:pPr>
        <w:numPr>
          <w:ilvl w:val="0"/>
          <w:numId w:val="13"/>
        </w:numPr>
        <w:snapToGrid w:val="0"/>
        <w:spacing w:beforeLines="50" w:before="120" w:afterLines="50" w:after="120" w:line="300" w:lineRule="auto"/>
      </w:pPr>
      <w:r>
        <w:rPr>
          <w:rFonts w:hint="eastAsia"/>
        </w:rPr>
        <w:t xml:space="preserve">Step 3: </w:t>
      </w:r>
      <w:r w:rsidR="00EF0163">
        <w:t>One SD basis is applied to two layers except for an orphan layer if any</w:t>
      </w:r>
      <w:r w:rsidR="0075364C">
        <w:t>.</w:t>
      </w:r>
    </w:p>
    <w:p w:rsidR="009B70BD" w:rsidRDefault="00EF0163">
      <w:pPr>
        <w:numPr>
          <w:ilvl w:val="1"/>
          <w:numId w:val="13"/>
        </w:numPr>
        <w:tabs>
          <w:tab w:val="left" w:pos="420"/>
        </w:tabs>
        <w:snapToGrid w:val="0"/>
        <w:spacing w:beforeLines="50" w:before="120" w:afterLines="50" w:after="120" w:line="300" w:lineRule="auto"/>
        <w:rPr>
          <w:bCs/>
          <w:kern w:val="2"/>
          <w:szCs w:val="20"/>
        </w:rPr>
      </w:pPr>
      <w:r>
        <w:rPr>
          <w:bCs/>
          <w:kern w:val="2"/>
          <w:szCs w:val="20"/>
        </w:rPr>
        <w:t xml:space="preserve">Note: </w:t>
      </w:r>
      <w:r w:rsidR="0051047F">
        <w:rPr>
          <w:rFonts w:hint="eastAsia"/>
          <w:bCs/>
          <w:kern w:val="2"/>
          <w:szCs w:val="20"/>
        </w:rPr>
        <w:t xml:space="preserve">All SD bases are used for two layers when </w:t>
      </w:r>
      <m:oMath>
        <m:r>
          <w:rPr>
            <w:rFonts w:ascii="Cambria Math" w:hAnsi="Cambria Math"/>
          </w:rPr>
          <m:t xml:space="preserve"> L</m:t>
        </m:r>
        <m:r>
          <m:rPr>
            <m:sty m:val="p"/>
          </m:rPr>
          <w:rPr>
            <w:rFonts w:ascii="Cambria Math" w:hAnsi="Cambria Math"/>
          </w:rPr>
          <m:t>=</m:t>
        </m:r>
        <m:f>
          <m:fPr>
            <m:type m:val="lin"/>
            <m:ctrlPr>
              <w:rPr>
                <w:rFonts w:ascii="Cambria Math" w:hAnsi="Cambria Math"/>
                <w:bCs/>
                <w:i/>
                <w:iCs/>
                <w:kern w:val="2"/>
                <w:szCs w:val="20"/>
              </w:rPr>
            </m:ctrlPr>
          </m:fPr>
          <m:num>
            <m:r>
              <w:rPr>
                <w:rFonts w:ascii="Cambria Math" w:hAnsi="Cambria Math"/>
                <w:kern w:val="2"/>
                <w:szCs w:val="20"/>
              </w:rPr>
              <m:t>v</m:t>
            </m:r>
          </m:num>
          <m:den>
            <m:r>
              <w:rPr>
                <w:rFonts w:ascii="Cambria Math" w:hAnsi="Cambria Math"/>
                <w:kern w:val="2"/>
                <w:szCs w:val="20"/>
              </w:rPr>
              <m:t>2</m:t>
            </m:r>
          </m:den>
        </m:f>
      </m:oMath>
    </w:p>
    <w:p w:rsidR="009B70BD" w:rsidRDefault="0051047F">
      <w:pPr>
        <w:tabs>
          <w:tab w:val="left" w:pos="420"/>
          <w:tab w:val="left" w:pos="840"/>
        </w:tabs>
        <w:snapToGrid w:val="0"/>
        <w:spacing w:beforeLines="50" w:before="120" w:afterLines="50" w:after="120" w:line="300" w:lineRule="auto"/>
        <w:rPr>
          <w:bCs/>
          <w:kern w:val="2"/>
          <w:szCs w:val="20"/>
        </w:rPr>
      </w:pPr>
      <w:r>
        <w:rPr>
          <w:rFonts w:hint="eastAsia"/>
          <w:bCs/>
          <w:kern w:val="2"/>
          <w:szCs w:val="20"/>
        </w:rPr>
        <w:t xml:space="preserve">For instance, </w:t>
      </w:r>
      <w:r w:rsidR="007B2E32">
        <w:rPr>
          <w:bCs/>
          <w:kern w:val="2"/>
          <w:szCs w:val="20"/>
        </w:rPr>
        <w:t>the precoding matrix</w:t>
      </w:r>
      <w:r>
        <w:rPr>
          <w:rFonts w:hint="eastAsia"/>
          <w:bCs/>
          <w:kern w:val="2"/>
          <w:szCs w:val="20"/>
        </w:rPr>
        <w:t xml:space="preserve"> for RI=5 can be simply described by following </w:t>
      </w:r>
      <w:r w:rsidR="0075364C">
        <w:rPr>
          <w:bCs/>
          <w:kern w:val="2"/>
          <w:szCs w:val="20"/>
        </w:rPr>
        <w:t>formula:</w:t>
      </w:r>
    </w:p>
    <w:p w:rsidR="009B70BD" w:rsidRDefault="0051047F">
      <w:pPr>
        <w:tabs>
          <w:tab w:val="left" w:pos="420"/>
          <w:tab w:val="left" w:pos="840"/>
        </w:tabs>
        <w:snapToGrid w:val="0"/>
        <w:spacing w:beforeLines="50" w:before="120" w:afterLines="50" w:after="120" w:line="300" w:lineRule="auto"/>
        <w:rPr>
          <w:bCs/>
          <w:kern w:val="2"/>
          <w:szCs w:val="20"/>
        </w:rPr>
      </w:pPr>
      <m:oMathPara>
        <m:oMath>
          <m:r>
            <w:rPr>
              <w:rFonts w:ascii="Cambria Math" w:hAnsi="Cambria Math"/>
              <w:kern w:val="2"/>
              <w:szCs w:val="20"/>
            </w:rPr>
            <m:t>W=</m:t>
          </m:r>
          <m:d>
            <m:dPr>
              <m:begChr m:val="["/>
              <m:endChr m:val="]"/>
              <m:ctrlPr>
                <w:rPr>
                  <w:rFonts w:ascii="Cambria Math" w:hAnsi="Cambria Math"/>
                  <w:bCs/>
                  <w:i/>
                  <w:iCs/>
                  <w:kern w:val="2"/>
                  <w:szCs w:val="20"/>
                </w:rPr>
              </m:ctrlPr>
            </m:dPr>
            <m:e>
              <m:m>
                <m:mPr>
                  <m:mcs>
                    <m:mc>
                      <m:mcPr>
                        <m:count m:val="3"/>
                        <m:mcJc m:val="center"/>
                      </m:mcPr>
                    </m:mc>
                  </m:mcs>
                  <m:ctrlPr>
                    <w:rPr>
                      <w:rFonts w:ascii="Cambria Math" w:hAnsi="Cambria Math"/>
                      <w:bCs/>
                      <w:i/>
                      <w:iCs/>
                      <w:kern w:val="2"/>
                      <w:szCs w:val="20"/>
                    </w:rPr>
                  </m:ctrlPr>
                </m:mPr>
                <m:mr>
                  <m:e>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1</m:t>
                        </m:r>
                      </m:sub>
                    </m:sSub>
                  </m:e>
                  <m:e>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1</m:t>
                        </m:r>
                      </m:sub>
                    </m:sSub>
                  </m:e>
                  <m:e>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2</m:t>
                        </m:r>
                      </m:sub>
                    </m:sSub>
                  </m:e>
                </m:mr>
                <m:mr>
                  <m:e>
                    <m:sSup>
                      <m:sSupPr>
                        <m:ctrlPr>
                          <w:rPr>
                            <w:rFonts w:ascii="Cambria Math" w:hAnsi="Cambria Math"/>
                            <w:bCs/>
                            <w:i/>
                            <w:iCs/>
                            <w:kern w:val="2"/>
                            <w:szCs w:val="20"/>
                          </w:rPr>
                        </m:ctrlPr>
                      </m:sSupPr>
                      <m:e>
                        <m:r>
                          <w:rPr>
                            <w:rFonts w:ascii="Cambria Math" w:hAnsi="Cambria Math"/>
                            <w:kern w:val="2"/>
                            <w:szCs w:val="20"/>
                          </w:rPr>
                          <m:t>e</m:t>
                        </m:r>
                      </m:e>
                      <m:sup>
                        <m:r>
                          <w:rPr>
                            <w:rFonts w:ascii="Cambria Math" w:hAnsi="Cambria Math"/>
                            <w:kern w:val="2"/>
                            <w:szCs w:val="20"/>
                          </w:rPr>
                          <m:t>j</m:t>
                        </m:r>
                        <m:sSub>
                          <m:sSubPr>
                            <m:ctrlPr>
                              <w:rPr>
                                <w:rFonts w:ascii="Cambria Math" w:hAnsi="Cambria Math"/>
                                <w:bCs/>
                                <w:i/>
                                <w:iCs/>
                                <w:kern w:val="2"/>
                                <w:szCs w:val="20"/>
                              </w:rPr>
                            </m:ctrlPr>
                          </m:sSubPr>
                          <m:e>
                            <m:r>
                              <w:rPr>
                                <w:rFonts w:ascii="Cambria Math" w:hAnsi="Cambria Math"/>
                                <w:kern w:val="2"/>
                                <w:szCs w:val="20"/>
                              </w:rPr>
                              <m:t>φ</m:t>
                            </m:r>
                          </m:e>
                          <m:sub>
                            <m:r>
                              <w:rPr>
                                <w:rFonts w:ascii="Cambria Math" w:hAnsi="Cambria Math"/>
                                <w:kern w:val="2"/>
                                <w:szCs w:val="20"/>
                              </w:rPr>
                              <m:t>1</m:t>
                            </m:r>
                          </m:sub>
                        </m:sSub>
                      </m:sup>
                    </m:sSup>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1</m:t>
                        </m:r>
                      </m:sub>
                    </m:sSub>
                  </m:e>
                  <m:e>
                    <m:r>
                      <w:rPr>
                        <w:rFonts w:ascii="Cambria Math" w:hAnsi="Cambria Math"/>
                        <w:kern w:val="2"/>
                        <w:szCs w:val="20"/>
                      </w:rPr>
                      <m:t>-</m:t>
                    </m:r>
                    <m:sSup>
                      <m:sSupPr>
                        <m:ctrlPr>
                          <w:rPr>
                            <w:rFonts w:ascii="Cambria Math" w:hAnsi="Cambria Math"/>
                            <w:bCs/>
                            <w:i/>
                            <w:iCs/>
                            <w:kern w:val="2"/>
                            <w:szCs w:val="20"/>
                          </w:rPr>
                        </m:ctrlPr>
                      </m:sSupPr>
                      <m:e>
                        <m:r>
                          <w:rPr>
                            <w:rFonts w:ascii="Cambria Math" w:hAnsi="Cambria Math"/>
                            <w:kern w:val="2"/>
                            <w:szCs w:val="20"/>
                          </w:rPr>
                          <m:t>e</m:t>
                        </m:r>
                      </m:e>
                      <m:sup>
                        <m:r>
                          <w:rPr>
                            <w:rFonts w:ascii="Cambria Math" w:hAnsi="Cambria Math"/>
                            <w:kern w:val="2"/>
                            <w:szCs w:val="20"/>
                          </w:rPr>
                          <m:t>j</m:t>
                        </m:r>
                        <m:sSub>
                          <m:sSubPr>
                            <m:ctrlPr>
                              <w:rPr>
                                <w:rFonts w:ascii="Cambria Math" w:hAnsi="Cambria Math"/>
                                <w:bCs/>
                                <w:i/>
                                <w:iCs/>
                                <w:kern w:val="2"/>
                                <w:szCs w:val="20"/>
                              </w:rPr>
                            </m:ctrlPr>
                          </m:sSubPr>
                          <m:e>
                            <m:r>
                              <w:rPr>
                                <w:rFonts w:ascii="Cambria Math" w:hAnsi="Cambria Math"/>
                                <w:kern w:val="2"/>
                                <w:szCs w:val="20"/>
                              </w:rPr>
                              <m:t>φ</m:t>
                            </m:r>
                          </m:e>
                          <m:sub>
                            <m:r>
                              <w:rPr>
                                <w:rFonts w:ascii="Cambria Math" w:hAnsi="Cambria Math"/>
                                <w:kern w:val="2"/>
                                <w:szCs w:val="20"/>
                              </w:rPr>
                              <m:t>1</m:t>
                            </m:r>
                          </m:sub>
                        </m:sSub>
                      </m:sup>
                    </m:sSup>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1</m:t>
                        </m:r>
                      </m:sub>
                    </m:sSub>
                  </m:e>
                  <m:e>
                    <m:sSup>
                      <m:sSupPr>
                        <m:ctrlPr>
                          <w:rPr>
                            <w:rFonts w:ascii="Cambria Math" w:hAnsi="Cambria Math"/>
                            <w:bCs/>
                            <w:i/>
                            <w:iCs/>
                            <w:kern w:val="2"/>
                            <w:szCs w:val="20"/>
                          </w:rPr>
                        </m:ctrlPr>
                      </m:sSupPr>
                      <m:e>
                        <m:r>
                          <w:rPr>
                            <w:rFonts w:ascii="Cambria Math" w:hAnsi="Cambria Math"/>
                            <w:kern w:val="2"/>
                            <w:szCs w:val="20"/>
                          </w:rPr>
                          <m:t>e</m:t>
                        </m:r>
                      </m:e>
                      <m:sup>
                        <m:r>
                          <w:rPr>
                            <w:rFonts w:ascii="Cambria Math" w:hAnsi="Cambria Math"/>
                            <w:kern w:val="2"/>
                            <w:szCs w:val="20"/>
                          </w:rPr>
                          <m:t>j</m:t>
                        </m:r>
                        <m:sSub>
                          <m:sSubPr>
                            <m:ctrlPr>
                              <w:rPr>
                                <w:rFonts w:ascii="Cambria Math" w:hAnsi="Cambria Math"/>
                                <w:bCs/>
                                <w:i/>
                                <w:iCs/>
                                <w:kern w:val="2"/>
                                <w:szCs w:val="20"/>
                              </w:rPr>
                            </m:ctrlPr>
                          </m:sSubPr>
                          <m:e>
                            <m:r>
                              <w:rPr>
                                <w:rFonts w:ascii="Cambria Math" w:hAnsi="Cambria Math"/>
                                <w:kern w:val="2"/>
                                <w:szCs w:val="20"/>
                              </w:rPr>
                              <m:t>φ</m:t>
                            </m:r>
                          </m:e>
                          <m:sub>
                            <m:r>
                              <w:rPr>
                                <w:rFonts w:ascii="Cambria Math" w:hAnsi="Cambria Math"/>
                                <w:kern w:val="2"/>
                                <w:szCs w:val="20"/>
                              </w:rPr>
                              <m:t>2</m:t>
                            </m:r>
                          </m:sub>
                        </m:sSub>
                      </m:sup>
                    </m:sSup>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2</m:t>
                        </m:r>
                      </m:sub>
                    </m:sSub>
                  </m:e>
                </m:mr>
              </m:m>
              <m:r>
                <w:rPr>
                  <w:rFonts w:ascii="Cambria Math" w:hAnsi="Cambria Math"/>
                  <w:kern w:val="2"/>
                  <w:szCs w:val="20"/>
                </w:rPr>
                <m:t xml:space="preserve">     </m:t>
              </m:r>
              <m:m>
                <m:mPr>
                  <m:mcs>
                    <m:mc>
                      <m:mcPr>
                        <m:count m:val="2"/>
                        <m:mcJc m:val="center"/>
                      </m:mcPr>
                    </m:mc>
                  </m:mcs>
                  <m:ctrlPr>
                    <w:rPr>
                      <w:rFonts w:ascii="Cambria Math" w:hAnsi="Cambria Math"/>
                      <w:bCs/>
                      <w:i/>
                      <w:iCs/>
                      <w:kern w:val="2"/>
                      <w:szCs w:val="20"/>
                    </w:rPr>
                  </m:ctrlPr>
                </m:mPr>
                <m:mr>
                  <m:e>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2</m:t>
                        </m:r>
                      </m:sub>
                    </m:sSub>
                  </m:e>
                  <m:e>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3</m:t>
                        </m:r>
                      </m:sub>
                    </m:sSub>
                  </m:e>
                </m:mr>
                <m:mr>
                  <m:e>
                    <m:r>
                      <w:rPr>
                        <w:rFonts w:ascii="Cambria Math" w:hAnsi="Cambria Math"/>
                        <w:kern w:val="2"/>
                        <w:szCs w:val="20"/>
                      </w:rPr>
                      <m:t>-</m:t>
                    </m:r>
                    <m:sSup>
                      <m:sSupPr>
                        <m:ctrlPr>
                          <w:rPr>
                            <w:rFonts w:ascii="Cambria Math" w:hAnsi="Cambria Math"/>
                            <w:bCs/>
                            <w:i/>
                            <w:iCs/>
                            <w:kern w:val="2"/>
                            <w:szCs w:val="20"/>
                          </w:rPr>
                        </m:ctrlPr>
                      </m:sSupPr>
                      <m:e>
                        <m:r>
                          <w:rPr>
                            <w:rFonts w:ascii="Cambria Math" w:hAnsi="Cambria Math"/>
                            <w:kern w:val="2"/>
                            <w:szCs w:val="20"/>
                          </w:rPr>
                          <m:t>e</m:t>
                        </m:r>
                      </m:e>
                      <m:sup>
                        <m:r>
                          <w:rPr>
                            <w:rFonts w:ascii="Cambria Math" w:hAnsi="Cambria Math"/>
                            <w:kern w:val="2"/>
                            <w:szCs w:val="20"/>
                          </w:rPr>
                          <m:t>j</m:t>
                        </m:r>
                        <m:sSub>
                          <m:sSubPr>
                            <m:ctrlPr>
                              <w:rPr>
                                <w:rFonts w:ascii="Cambria Math" w:hAnsi="Cambria Math"/>
                                <w:bCs/>
                                <w:i/>
                                <w:iCs/>
                                <w:kern w:val="2"/>
                                <w:szCs w:val="20"/>
                              </w:rPr>
                            </m:ctrlPr>
                          </m:sSubPr>
                          <m:e>
                            <m:r>
                              <w:rPr>
                                <w:rFonts w:ascii="Cambria Math" w:hAnsi="Cambria Math"/>
                                <w:kern w:val="2"/>
                                <w:szCs w:val="20"/>
                              </w:rPr>
                              <m:t>φ</m:t>
                            </m:r>
                          </m:e>
                          <m:sub>
                            <m:r>
                              <w:rPr>
                                <w:rFonts w:ascii="Cambria Math" w:hAnsi="Cambria Math"/>
                                <w:kern w:val="2"/>
                                <w:szCs w:val="20"/>
                              </w:rPr>
                              <m:t>2</m:t>
                            </m:r>
                          </m:sub>
                        </m:sSub>
                      </m:sup>
                    </m:sSup>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2</m:t>
                        </m:r>
                      </m:sub>
                    </m:sSub>
                  </m:e>
                  <m:e>
                    <m:sSup>
                      <m:sSupPr>
                        <m:ctrlPr>
                          <w:rPr>
                            <w:rFonts w:ascii="Cambria Math" w:hAnsi="Cambria Math"/>
                            <w:bCs/>
                            <w:i/>
                            <w:iCs/>
                            <w:kern w:val="2"/>
                            <w:szCs w:val="20"/>
                          </w:rPr>
                        </m:ctrlPr>
                      </m:sSupPr>
                      <m:e>
                        <m:r>
                          <w:rPr>
                            <w:rFonts w:ascii="Cambria Math" w:hAnsi="Cambria Math"/>
                            <w:kern w:val="2"/>
                            <w:szCs w:val="20"/>
                          </w:rPr>
                          <m:t>e</m:t>
                        </m:r>
                      </m:e>
                      <m:sup>
                        <m:r>
                          <w:rPr>
                            <w:rFonts w:ascii="Cambria Math" w:hAnsi="Cambria Math"/>
                            <w:kern w:val="2"/>
                            <w:szCs w:val="20"/>
                          </w:rPr>
                          <m:t>j</m:t>
                        </m:r>
                        <m:sSub>
                          <m:sSubPr>
                            <m:ctrlPr>
                              <w:rPr>
                                <w:rFonts w:ascii="Cambria Math" w:hAnsi="Cambria Math"/>
                                <w:bCs/>
                                <w:i/>
                                <w:iCs/>
                                <w:kern w:val="2"/>
                                <w:szCs w:val="20"/>
                              </w:rPr>
                            </m:ctrlPr>
                          </m:sSubPr>
                          <m:e>
                            <m:r>
                              <w:rPr>
                                <w:rFonts w:ascii="Cambria Math" w:hAnsi="Cambria Math"/>
                                <w:kern w:val="2"/>
                                <w:szCs w:val="20"/>
                              </w:rPr>
                              <m:t>φ</m:t>
                            </m:r>
                          </m:e>
                          <m:sub>
                            <m:r>
                              <w:rPr>
                                <w:rFonts w:ascii="Cambria Math" w:hAnsi="Cambria Math"/>
                                <w:kern w:val="2"/>
                                <w:szCs w:val="20"/>
                              </w:rPr>
                              <m:t>3</m:t>
                            </m:r>
                          </m:sub>
                        </m:sSub>
                      </m:sup>
                    </m:sSup>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3</m:t>
                        </m:r>
                      </m:sub>
                    </m:sSub>
                  </m:e>
                </m:mr>
              </m:m>
            </m:e>
          </m:d>
        </m:oMath>
      </m:oMathPara>
    </w:p>
    <w:p w:rsidR="009B70BD" w:rsidRDefault="00DD6246">
      <w:pPr>
        <w:numPr>
          <w:ilvl w:val="255"/>
          <w:numId w:val="0"/>
        </w:numPr>
        <w:tabs>
          <w:tab w:val="left" w:pos="420"/>
          <w:tab w:val="left" w:pos="840"/>
        </w:tabs>
        <w:snapToGrid w:val="0"/>
        <w:spacing w:beforeLines="50" w:before="120" w:afterLines="50" w:after="120" w:line="300" w:lineRule="auto"/>
        <w:rPr>
          <w:bCs/>
          <w:kern w:val="2"/>
          <w:szCs w:val="20"/>
        </w:rPr>
      </w:pPr>
      <w:r w:rsidRPr="00732DD7">
        <w:rPr>
          <w:bCs/>
          <w:kern w:val="2"/>
          <w:szCs w:val="20"/>
        </w:rPr>
        <w:t xml:space="preserve">where </w:t>
      </w:r>
      <m:oMath>
        <m:r>
          <w:rPr>
            <w:rFonts w:ascii="Cambria Math" w:hAnsi="Cambria Math"/>
          </w:rPr>
          <m:t>L</m:t>
        </m:r>
        <m:r>
          <m:rPr>
            <m:sty m:val="p"/>
          </m:rPr>
          <w:rPr>
            <w:rFonts w:ascii="Cambria Math" w:hAnsi="Cambria Math"/>
          </w:rPr>
          <m:t>=</m:t>
        </m:r>
        <m:d>
          <m:dPr>
            <m:begChr m:val="⌈"/>
            <m:endChr m:val="⌉"/>
            <m:ctrlPr>
              <w:rPr>
                <w:rFonts w:ascii="Cambria Math" w:hAnsi="Cambria Math"/>
                <w:bCs/>
                <w:iCs/>
                <w:kern w:val="2"/>
                <w:szCs w:val="20"/>
              </w:rPr>
            </m:ctrlPr>
          </m:dPr>
          <m:e>
            <m:f>
              <m:fPr>
                <m:type m:val="lin"/>
                <m:ctrlPr>
                  <w:rPr>
                    <w:rFonts w:ascii="Cambria Math" w:hAnsi="Cambria Math"/>
                    <w:bCs/>
                    <w:i/>
                    <w:iCs/>
                    <w:kern w:val="2"/>
                    <w:szCs w:val="20"/>
                  </w:rPr>
                </m:ctrlPr>
              </m:fPr>
              <m:num>
                <m:r>
                  <w:rPr>
                    <w:rFonts w:ascii="Cambria Math" w:hAnsi="Cambria Math"/>
                    <w:kern w:val="2"/>
                    <w:szCs w:val="20"/>
                  </w:rPr>
                  <m:t>v</m:t>
                </m:r>
              </m:num>
              <m:den>
                <m:r>
                  <w:rPr>
                    <w:rFonts w:ascii="Cambria Math" w:hAnsi="Cambria Math"/>
                    <w:kern w:val="2"/>
                    <w:szCs w:val="20"/>
                  </w:rPr>
                  <m:t>2</m:t>
                </m:r>
              </m:den>
            </m:f>
          </m:e>
        </m:d>
        <m:r>
          <w:rPr>
            <w:rFonts w:ascii="Cambria Math" w:hAnsi="Cambria Math"/>
            <w:kern w:val="2"/>
            <w:szCs w:val="20"/>
          </w:rPr>
          <m:t>=3</m:t>
        </m:r>
      </m:oMath>
      <w:r w:rsidRPr="00732DD7">
        <w:rPr>
          <w:bCs/>
          <w:kern w:val="2"/>
          <w:szCs w:val="20"/>
        </w:rPr>
        <w:t>, the SD bases</w:t>
      </w:r>
      <w:r w:rsidR="0051047F" w:rsidRPr="002A74A3">
        <w:rPr>
          <w:bCs/>
          <w:color w:val="FF0000"/>
          <w:kern w:val="2"/>
          <w:szCs w:val="20"/>
        </w:rPr>
        <w:t xml:space="preserve"> </w:t>
      </w:r>
      <m:oMath>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1</m:t>
            </m:r>
          </m:sub>
        </m:sSub>
      </m:oMath>
      <w:r w:rsidR="0051047F">
        <w:rPr>
          <w:rFonts w:hAnsi="Cambria Math" w:hint="eastAsia"/>
          <w:bCs/>
          <w:iCs/>
          <w:kern w:val="2"/>
          <w:szCs w:val="20"/>
        </w:rPr>
        <w:t xml:space="preserve">, </w:t>
      </w:r>
      <m:oMath>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2</m:t>
            </m:r>
          </m:sub>
        </m:sSub>
      </m:oMath>
      <w:r w:rsidR="0051047F">
        <w:rPr>
          <w:rFonts w:hAnsi="Cambria Math" w:hint="eastAsia"/>
          <w:bCs/>
          <w:iCs/>
          <w:kern w:val="2"/>
          <w:szCs w:val="20"/>
        </w:rPr>
        <w:t xml:space="preserve">, </w:t>
      </w:r>
      <m:oMath>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3</m:t>
            </m:r>
          </m:sub>
        </m:sSub>
      </m:oMath>
      <w:r w:rsidR="0051047F">
        <w:rPr>
          <w:rFonts w:hAnsi="Cambria Math" w:hint="eastAsia"/>
          <w:bCs/>
          <w:iCs/>
          <w:kern w:val="2"/>
          <w:szCs w:val="20"/>
        </w:rPr>
        <w:t xml:space="preserve"> </w:t>
      </w:r>
      <w:r w:rsidR="0051047F">
        <w:rPr>
          <w:rFonts w:hint="eastAsia"/>
          <w:bCs/>
          <w:kern w:val="2"/>
          <w:szCs w:val="20"/>
        </w:rPr>
        <w:t xml:space="preserve">are selected independently, and an indicator is used to indicate which SD basis (e.g. </w:t>
      </w:r>
      <m:oMath>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3</m:t>
            </m:r>
          </m:sub>
        </m:sSub>
      </m:oMath>
      <w:r w:rsidR="0051047F">
        <w:rPr>
          <w:rFonts w:hint="eastAsia"/>
          <w:bCs/>
          <w:kern w:val="2"/>
          <w:szCs w:val="20"/>
        </w:rPr>
        <w:t xml:space="preserve">) is used for only one layer, </w:t>
      </w:r>
      <w:r w:rsidR="0051047F">
        <w:rPr>
          <w:rFonts w:hint="eastAsia"/>
        </w:rPr>
        <w:t>the other SD bases are used for two layers</w:t>
      </w:r>
      <w:r w:rsidR="0051047F">
        <w:rPr>
          <w:rFonts w:hint="eastAsia"/>
          <w:bCs/>
          <w:kern w:val="2"/>
          <w:szCs w:val="20"/>
        </w:rPr>
        <w:t xml:space="preserve"> (e.g. </w:t>
      </w:r>
      <m:oMath>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1</m:t>
            </m:r>
          </m:sub>
        </m:sSub>
      </m:oMath>
      <w:r w:rsidR="0051047F">
        <w:rPr>
          <w:rFonts w:hAnsi="Cambria Math" w:hint="eastAsia"/>
          <w:bCs/>
          <w:iCs/>
          <w:kern w:val="2"/>
          <w:szCs w:val="20"/>
        </w:rPr>
        <w:t xml:space="preserve"> and </w:t>
      </w:r>
      <m:oMath>
        <m:sSub>
          <m:sSubPr>
            <m:ctrlPr>
              <w:rPr>
                <w:rFonts w:ascii="Cambria Math" w:hAnsi="Cambria Math"/>
                <w:bCs/>
                <w:i/>
                <w:iCs/>
                <w:kern w:val="2"/>
                <w:szCs w:val="20"/>
              </w:rPr>
            </m:ctrlPr>
          </m:sSubPr>
          <m:e>
            <m:r>
              <w:rPr>
                <w:rFonts w:ascii="Cambria Math" w:hAnsi="Cambria Math"/>
                <w:kern w:val="2"/>
                <w:szCs w:val="20"/>
              </w:rPr>
              <m:t>v</m:t>
            </m:r>
          </m:e>
          <m:sub>
            <m:r>
              <w:rPr>
                <w:rFonts w:ascii="Cambria Math" w:hAnsi="Cambria Math"/>
                <w:kern w:val="2"/>
                <w:szCs w:val="20"/>
              </w:rPr>
              <m:t>2</m:t>
            </m:r>
          </m:sub>
        </m:sSub>
      </m:oMath>
      <w:r w:rsidR="0051047F">
        <w:rPr>
          <w:rFonts w:hint="eastAsia"/>
          <w:bCs/>
          <w:kern w:val="2"/>
          <w:szCs w:val="20"/>
        </w:rPr>
        <w:t>). If one SD basis is used for two layers, a</w:t>
      </w:r>
      <w:r w:rsidR="00EF0163">
        <w:rPr>
          <w:bCs/>
          <w:kern w:val="2"/>
          <w:szCs w:val="20"/>
        </w:rPr>
        <w:t>dditional</w:t>
      </w:r>
      <w:r w:rsidR="0051047F">
        <w:rPr>
          <w:rFonts w:hint="eastAsia"/>
          <w:bCs/>
          <w:kern w:val="2"/>
          <w:szCs w:val="20"/>
        </w:rPr>
        <w:t xml:space="preserve"> phase rotation of </w:t>
      </w:r>
      <m:oMath>
        <m:r>
          <w:rPr>
            <w:rFonts w:ascii="Cambria Math" w:hAnsi="Cambria Math"/>
            <w:kern w:val="2"/>
            <w:szCs w:val="20"/>
          </w:rPr>
          <m:t>π</m:t>
        </m:r>
      </m:oMath>
      <w:r>
        <w:rPr>
          <w:bCs/>
          <w:kern w:val="2"/>
          <w:szCs w:val="20"/>
        </w:rPr>
        <w:t xml:space="preserve"> </w:t>
      </w:r>
      <w:r w:rsidR="0051047F">
        <w:rPr>
          <w:rFonts w:hint="eastAsia"/>
          <w:bCs/>
          <w:kern w:val="2"/>
          <w:szCs w:val="20"/>
        </w:rPr>
        <w:t xml:space="preserve">is </w:t>
      </w:r>
      <w:r>
        <w:rPr>
          <w:bCs/>
          <w:kern w:val="2"/>
          <w:szCs w:val="20"/>
        </w:rPr>
        <w:t>applied to the inter-polarization co-phasing</w:t>
      </w:r>
      <w:r w:rsidR="0051047F">
        <w:rPr>
          <w:rFonts w:hint="eastAsia"/>
          <w:bCs/>
          <w:kern w:val="2"/>
          <w:szCs w:val="20"/>
        </w:rPr>
        <w:t xml:space="preserve"> </w:t>
      </w:r>
      <w:r>
        <w:rPr>
          <w:bCs/>
          <w:kern w:val="2"/>
          <w:szCs w:val="20"/>
        </w:rPr>
        <w:t>between the</w:t>
      </w:r>
      <w:r w:rsidR="0051047F">
        <w:rPr>
          <w:rFonts w:hint="eastAsia"/>
          <w:bCs/>
          <w:kern w:val="2"/>
          <w:szCs w:val="20"/>
        </w:rPr>
        <w:t xml:space="preserve"> two layers.</w:t>
      </w:r>
    </w:p>
    <w:p w:rsidR="009B70BD" w:rsidRDefault="00DD6246">
      <w:pPr>
        <w:snapToGrid w:val="0"/>
        <w:spacing w:beforeLines="50" w:before="120" w:afterLines="50" w:after="120" w:line="300" w:lineRule="auto"/>
        <w:rPr>
          <w:bCs/>
          <w:kern w:val="2"/>
          <w:szCs w:val="20"/>
        </w:rPr>
      </w:pPr>
      <w:r>
        <w:t xml:space="preserve">The </w:t>
      </w:r>
      <w:r w:rsidR="0051047F">
        <w:rPr>
          <w:rFonts w:hint="eastAsia"/>
        </w:rPr>
        <w:t>SLS is performed to compare</w:t>
      </w:r>
      <w:r w:rsidR="004E4C6E">
        <w:t xml:space="preserve"> the legacy</w:t>
      </w:r>
      <w:r w:rsidR="0051047F">
        <w:rPr>
          <w:rFonts w:hint="eastAsia"/>
          <w:bCs/>
          <w:kern w:val="2"/>
          <w:szCs w:val="20"/>
        </w:rPr>
        <w:t xml:space="preserve"> Type-I</w:t>
      </w:r>
      <w:r w:rsidR="004E4C6E">
        <w:rPr>
          <w:bCs/>
          <w:kern w:val="2"/>
          <w:szCs w:val="20"/>
        </w:rPr>
        <w:t xml:space="preserve"> codebook</w:t>
      </w:r>
      <w:r w:rsidR="0051047F">
        <w:rPr>
          <w:rFonts w:hint="eastAsia"/>
          <w:bCs/>
          <w:kern w:val="2"/>
          <w:szCs w:val="20"/>
        </w:rPr>
        <w:t xml:space="preserve"> and enhanced </w:t>
      </w:r>
      <w:r w:rsidR="0051047F">
        <w:rPr>
          <w:rFonts w:hint="eastAsia"/>
        </w:rPr>
        <w:t>Type-I</w:t>
      </w:r>
      <w:r w:rsidR="004E4C6E">
        <w:t xml:space="preserve"> codebook</w:t>
      </w:r>
      <w:r w:rsidR="0051047F">
        <w:rPr>
          <w:rFonts w:hint="eastAsia"/>
        </w:rPr>
        <w:t xml:space="preserve"> (</w:t>
      </w:r>
      <w:r w:rsidR="0051047F">
        <w:rPr>
          <w:rFonts w:hint="eastAsia"/>
          <w:bCs/>
          <w:kern w:val="2"/>
          <w:szCs w:val="20"/>
        </w:rPr>
        <w:t>SD</w:t>
      </w:r>
      <w:r w:rsidR="0051047F">
        <w:rPr>
          <w:rFonts w:hint="eastAsia"/>
        </w:rPr>
        <w:t xml:space="preserve"> basis independent selection and multiplexing codebook)</w:t>
      </w:r>
      <w:r w:rsidR="004E4C6E">
        <w:t xml:space="preserve"> when the maximum RI </w:t>
      </w:r>
      <w:r w:rsidR="007E58E7">
        <w:t>=</w:t>
      </w:r>
      <w:r w:rsidR="004E4C6E">
        <w:t xml:space="preserve"> 8</w:t>
      </w:r>
      <w:r w:rsidR="0051047F">
        <w:rPr>
          <w:rFonts w:hint="eastAsia"/>
        </w:rPr>
        <w:t xml:space="preserve">. The results in </w:t>
      </w:r>
      <w:r w:rsidR="003D5DB6">
        <w:t>F</w:t>
      </w:r>
      <w:r w:rsidR="004E4C6E">
        <w:rPr>
          <w:rFonts w:hint="eastAsia"/>
        </w:rPr>
        <w:t xml:space="preserve">igure </w:t>
      </w:r>
      <w:r w:rsidR="004E4C6E">
        <w:t>4</w:t>
      </w:r>
      <w:r w:rsidR="0051047F">
        <w:rPr>
          <w:rFonts w:hint="eastAsia"/>
        </w:rPr>
        <w:t xml:space="preserve"> shows that, the </w:t>
      </w:r>
      <w:r w:rsidR="0051047F">
        <w:rPr>
          <w:rFonts w:hint="eastAsia"/>
          <w:bCs/>
          <w:kern w:val="2"/>
          <w:szCs w:val="20"/>
        </w:rPr>
        <w:t xml:space="preserve">enhanced </w:t>
      </w:r>
      <w:r w:rsidR="0051047F">
        <w:rPr>
          <w:rFonts w:hint="eastAsia"/>
        </w:rPr>
        <w:t>Type-I (</w:t>
      </w:r>
      <w:r w:rsidR="0051047F">
        <w:rPr>
          <w:rFonts w:hint="eastAsia"/>
          <w:bCs/>
          <w:kern w:val="2"/>
          <w:szCs w:val="20"/>
        </w:rPr>
        <w:t>SD</w:t>
      </w:r>
      <w:r w:rsidR="0051047F">
        <w:rPr>
          <w:rFonts w:hint="eastAsia"/>
        </w:rPr>
        <w:t xml:space="preserve"> basis independent selection and multiplexing codebook) provides significant gain for cell-edge UEs and </w:t>
      </w:r>
      <w:r w:rsidR="007E58E7">
        <w:t xml:space="preserve">significant gain in </w:t>
      </w:r>
      <w:r w:rsidR="0051047F">
        <w:rPr>
          <w:rFonts w:hint="eastAsia"/>
        </w:rPr>
        <w:t xml:space="preserve">average compared to </w:t>
      </w:r>
      <w:r w:rsidR="004E4C6E">
        <w:t xml:space="preserve">the legacy </w:t>
      </w:r>
      <w:r w:rsidR="0051047F">
        <w:rPr>
          <w:rFonts w:hint="eastAsia"/>
          <w:bCs/>
          <w:kern w:val="2"/>
          <w:szCs w:val="20"/>
        </w:rPr>
        <w:t>Type-I codebook</w:t>
      </w:r>
      <w:r w:rsidR="0051047F">
        <w:rPr>
          <w:rFonts w:hint="eastAsia"/>
        </w:rPr>
        <w:t>.</w:t>
      </w:r>
    </w:p>
    <w:p w:rsidR="009B70BD" w:rsidRDefault="0051047F">
      <w:pPr>
        <w:snapToGrid w:val="0"/>
        <w:spacing w:beforeLines="50" w:before="120" w:afterLines="50" w:after="120" w:line="300" w:lineRule="auto"/>
        <w:jc w:val="center"/>
      </w:pPr>
      <w:r>
        <w:rPr>
          <w:noProof/>
        </w:rPr>
        <w:drawing>
          <wp:inline distT="0" distB="0" distL="114300" distR="114300">
            <wp:extent cx="3152775" cy="1931035"/>
            <wp:effectExtent l="0" t="0" r="9525" b="12065"/>
            <wp:docPr id="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B70BD" w:rsidRDefault="0051047F">
      <w:pPr>
        <w:snapToGrid w:val="0"/>
        <w:spacing w:beforeLines="30" w:before="72" w:afterLines="30" w:after="72" w:line="300" w:lineRule="auto"/>
        <w:jc w:val="center"/>
        <w:textAlignment w:val="center"/>
      </w:pPr>
      <w:r>
        <w:rPr>
          <w:rFonts w:hint="eastAsia"/>
          <w:b/>
          <w:bCs/>
        </w:rPr>
        <w:t xml:space="preserve">Figure </w:t>
      </w:r>
      <w:r w:rsidR="007E58E7">
        <w:rPr>
          <w:b/>
          <w:bCs/>
        </w:rPr>
        <w:t>4</w:t>
      </w:r>
      <w:r>
        <w:rPr>
          <w:rFonts w:hint="eastAsia"/>
        </w:rPr>
        <w:t xml:space="preserve"> DL throughput gain (64 ports) in SU-MIMO scenario with Type-I</w:t>
      </w:r>
      <w:r w:rsidR="00B86108">
        <w:t xml:space="preserve"> and</w:t>
      </w:r>
      <w:r w:rsidR="00B86108">
        <w:rPr>
          <w:rFonts w:hint="eastAsia"/>
        </w:rPr>
        <w:t xml:space="preserve"> </w:t>
      </w:r>
      <w:r>
        <w:rPr>
          <w:rFonts w:hint="eastAsia"/>
        </w:rPr>
        <w:t>enhanced Type-I</w:t>
      </w:r>
      <w:r w:rsidR="00B86108">
        <w:t xml:space="preserve"> </w:t>
      </w:r>
      <w:r w:rsidR="00B86108">
        <w:rPr>
          <w:rFonts w:hint="eastAsia"/>
        </w:rPr>
        <w:t>(</w:t>
      </w:r>
      <w:r w:rsidR="00B86108">
        <w:rPr>
          <w:rFonts w:hint="eastAsia"/>
          <w:bCs/>
          <w:kern w:val="2"/>
          <w:szCs w:val="20"/>
        </w:rPr>
        <w:t>SD</w:t>
      </w:r>
      <w:r w:rsidR="00B86108">
        <w:rPr>
          <w:rFonts w:hint="eastAsia"/>
        </w:rPr>
        <w:t xml:space="preserve"> </w:t>
      </w:r>
      <w:r w:rsidR="00761AD5">
        <w:t>basis independent</w:t>
      </w:r>
      <w:r w:rsidR="00B86108">
        <w:rPr>
          <w:rFonts w:hint="eastAsia"/>
        </w:rPr>
        <w:t xml:space="preserve"> selection and multiplexing)</w:t>
      </w:r>
      <w:r w:rsidR="00B86108">
        <w:t xml:space="preserve"> codebooks </w:t>
      </w:r>
    </w:p>
    <w:p w:rsidR="009B70BD" w:rsidRDefault="0051047F">
      <w:pPr>
        <w:snapToGrid w:val="0"/>
        <w:spacing w:beforeLines="50" w:before="120" w:afterLines="50" w:after="120" w:line="300" w:lineRule="auto"/>
        <w:rPr>
          <w:bCs/>
          <w:i/>
          <w:iCs/>
          <w:kern w:val="2"/>
          <w:szCs w:val="20"/>
        </w:rPr>
      </w:pPr>
      <w:r>
        <w:rPr>
          <w:rFonts w:hint="eastAsia"/>
          <w:b/>
          <w:i/>
          <w:iCs/>
          <w:kern w:val="2"/>
          <w:szCs w:val="20"/>
        </w:rPr>
        <w:lastRenderedPageBreak/>
        <w:t xml:space="preserve">Observation </w:t>
      </w:r>
      <w:r w:rsidR="003D5DB6">
        <w:rPr>
          <w:b/>
          <w:i/>
          <w:iCs/>
          <w:kern w:val="2"/>
          <w:szCs w:val="20"/>
        </w:rPr>
        <w:t>4</w:t>
      </w:r>
      <w:r>
        <w:rPr>
          <w:rFonts w:hint="eastAsia"/>
          <w:b/>
          <w:i/>
          <w:iCs/>
          <w:kern w:val="2"/>
          <w:szCs w:val="20"/>
        </w:rPr>
        <w:t>:</w:t>
      </w:r>
      <w:r>
        <w:rPr>
          <w:rFonts w:hint="eastAsia"/>
          <w:bCs/>
          <w:i/>
          <w:iCs/>
          <w:kern w:val="2"/>
          <w:szCs w:val="20"/>
        </w:rPr>
        <w:t xml:space="preserve"> In SU-MIMO scenario,</w:t>
      </w:r>
      <w:r w:rsidR="007E58E7">
        <w:rPr>
          <w:bCs/>
          <w:i/>
          <w:iCs/>
          <w:kern w:val="2"/>
          <w:szCs w:val="20"/>
        </w:rPr>
        <w:t xml:space="preserve"> when the maximum RI = 8,</w:t>
      </w:r>
      <w:r>
        <w:rPr>
          <w:rFonts w:hint="eastAsia"/>
          <w:bCs/>
          <w:i/>
          <w:iCs/>
          <w:kern w:val="2"/>
          <w:szCs w:val="20"/>
        </w:rPr>
        <w:t xml:space="preserve"> </w:t>
      </w:r>
      <w:r w:rsidR="00DD6246">
        <w:rPr>
          <w:bCs/>
          <w:i/>
          <w:iCs/>
          <w:kern w:val="2"/>
          <w:szCs w:val="20"/>
        </w:rPr>
        <w:t>t</w:t>
      </w:r>
      <w:r>
        <w:rPr>
          <w:rFonts w:hint="eastAsia"/>
          <w:i/>
          <w:iCs/>
        </w:rPr>
        <w:t xml:space="preserve">he </w:t>
      </w:r>
      <w:r>
        <w:rPr>
          <w:rFonts w:hint="eastAsia"/>
          <w:bCs/>
          <w:i/>
          <w:iCs/>
          <w:kern w:val="2"/>
          <w:szCs w:val="20"/>
        </w:rPr>
        <w:t xml:space="preserve">enhanced </w:t>
      </w:r>
      <w:r>
        <w:rPr>
          <w:rFonts w:hint="eastAsia"/>
          <w:i/>
          <w:iCs/>
        </w:rPr>
        <w:t>Type-I (</w:t>
      </w:r>
      <w:r>
        <w:rPr>
          <w:rFonts w:hint="eastAsia"/>
          <w:bCs/>
          <w:i/>
          <w:iCs/>
          <w:kern w:val="2"/>
          <w:szCs w:val="20"/>
        </w:rPr>
        <w:t>SD</w:t>
      </w:r>
      <w:r>
        <w:rPr>
          <w:rFonts w:hint="eastAsia"/>
          <w:i/>
          <w:iCs/>
        </w:rPr>
        <w:t xml:space="preserve"> basis independent selection and multiplexing)</w:t>
      </w:r>
      <w:r w:rsidR="00AE273E">
        <w:rPr>
          <w:i/>
          <w:iCs/>
        </w:rPr>
        <w:t xml:space="preserve"> codebook</w:t>
      </w:r>
      <w:r>
        <w:rPr>
          <w:rFonts w:hint="eastAsia"/>
          <w:i/>
          <w:iCs/>
        </w:rPr>
        <w:t xml:space="preserve"> provides significant gain compared to </w:t>
      </w:r>
      <w:r>
        <w:rPr>
          <w:rFonts w:hint="eastAsia"/>
          <w:bCs/>
          <w:i/>
          <w:iCs/>
          <w:kern w:val="2"/>
          <w:szCs w:val="20"/>
        </w:rPr>
        <w:t>Type-I codebook</w:t>
      </w:r>
      <w:r>
        <w:rPr>
          <w:rFonts w:hint="eastAsia"/>
          <w:i/>
          <w:iCs/>
        </w:rPr>
        <w:t>.</w:t>
      </w:r>
    </w:p>
    <w:p w:rsidR="009B70BD" w:rsidRDefault="0051047F">
      <w:pPr>
        <w:snapToGrid w:val="0"/>
        <w:spacing w:beforeLines="50" w:before="120" w:afterLines="50" w:after="120" w:line="300" w:lineRule="auto"/>
        <w:rPr>
          <w:bCs/>
          <w:i/>
          <w:iCs/>
        </w:rPr>
      </w:pPr>
      <w:r>
        <w:rPr>
          <w:rFonts w:hint="eastAsia"/>
          <w:b/>
          <w:i/>
          <w:iCs/>
          <w:kern w:val="2"/>
          <w:szCs w:val="20"/>
        </w:rPr>
        <w:t xml:space="preserve">Proposal </w:t>
      </w:r>
      <w:r w:rsidR="007E58E7">
        <w:rPr>
          <w:b/>
          <w:i/>
          <w:iCs/>
          <w:kern w:val="2"/>
          <w:szCs w:val="20"/>
        </w:rPr>
        <w:t>9</w:t>
      </w:r>
      <w:r>
        <w:rPr>
          <w:rFonts w:hint="eastAsia"/>
          <w:b/>
          <w:i/>
          <w:iCs/>
          <w:kern w:val="2"/>
          <w:szCs w:val="20"/>
        </w:rPr>
        <w:t xml:space="preserve">: </w:t>
      </w:r>
      <w:r>
        <w:rPr>
          <w:rFonts w:hint="eastAsia"/>
          <w:bCs/>
          <w:i/>
          <w:iCs/>
        </w:rPr>
        <w:t>Regarding Rel-19 Type-I and Type-II codebook refinement</w:t>
      </w:r>
      <w:r>
        <w:rPr>
          <w:bCs/>
          <w:i/>
          <w:iCs/>
        </w:rPr>
        <w:t>, support the following Type-I codebook design for RI = 5~8:</w:t>
      </w:r>
    </w:p>
    <w:p w:rsidR="009B70BD" w:rsidRDefault="0051047F">
      <w:pPr>
        <w:numPr>
          <w:ilvl w:val="0"/>
          <w:numId w:val="13"/>
        </w:numPr>
        <w:snapToGrid w:val="0"/>
        <w:spacing w:beforeLines="50" w:before="120" w:afterLines="50" w:after="120" w:line="300" w:lineRule="auto"/>
        <w:rPr>
          <w:bCs/>
          <w:i/>
          <w:iCs/>
          <w:kern w:val="2"/>
          <w:szCs w:val="20"/>
        </w:rPr>
      </w:pPr>
      <w:r>
        <w:rPr>
          <w:bCs/>
          <w:i/>
          <w:iCs/>
          <w:kern w:val="2"/>
          <w:szCs w:val="20"/>
        </w:rPr>
        <w:t>W</w:t>
      </w:r>
      <w:r>
        <w:rPr>
          <w:bCs/>
          <w:i/>
          <w:iCs/>
          <w:kern w:val="2"/>
          <w:szCs w:val="20"/>
          <w:vertAlign w:val="subscript"/>
        </w:rPr>
        <w:t>1</w:t>
      </w:r>
      <w:r>
        <w:rPr>
          <w:bCs/>
          <w:i/>
          <w:iCs/>
          <w:kern w:val="2"/>
          <w:szCs w:val="20"/>
        </w:rPr>
        <w:t xml:space="preserve"> structure:</w:t>
      </w:r>
    </w:p>
    <w:p w:rsidR="009B70BD" w:rsidRDefault="0051047F">
      <w:pPr>
        <w:numPr>
          <w:ilvl w:val="1"/>
          <w:numId w:val="13"/>
        </w:numPr>
        <w:tabs>
          <w:tab w:val="left" w:pos="420"/>
        </w:tabs>
        <w:snapToGrid w:val="0"/>
        <w:spacing w:beforeLines="50" w:before="120" w:afterLines="50" w:after="120" w:line="300" w:lineRule="auto"/>
        <w:rPr>
          <w:bCs/>
          <w:i/>
          <w:iCs/>
          <w:kern w:val="2"/>
          <w:szCs w:val="20"/>
        </w:rPr>
      </w:pPr>
      <w:r>
        <w:rPr>
          <w:rFonts w:hint="eastAsia"/>
          <w:bCs/>
          <w:i/>
          <w:iCs/>
          <w:kern w:val="2"/>
          <w:szCs w:val="20"/>
        </w:rPr>
        <w:t>I</w:t>
      </w:r>
      <w:r>
        <w:rPr>
          <w:bCs/>
          <w:i/>
          <w:iCs/>
          <w:kern w:val="2"/>
          <w:szCs w:val="20"/>
        </w:rPr>
        <w:t xml:space="preserve">ndependently selection of different </w:t>
      </w:r>
      <m:oMath>
        <m:d>
          <m:dPr>
            <m:begChr m:val="⌈"/>
            <m:endChr m:val="⌉"/>
            <m:ctrlPr>
              <w:rPr>
                <w:rFonts w:ascii="Cambria Math" w:hAnsi="Cambria Math"/>
                <w:bCs/>
                <w:iCs/>
                <w:kern w:val="2"/>
                <w:szCs w:val="20"/>
              </w:rPr>
            </m:ctrlPr>
          </m:dPr>
          <m:e>
            <m:f>
              <m:fPr>
                <m:type m:val="lin"/>
                <m:ctrlPr>
                  <w:rPr>
                    <w:rFonts w:ascii="Cambria Math" w:hAnsi="Cambria Math"/>
                    <w:bCs/>
                    <w:i/>
                    <w:iCs/>
                    <w:kern w:val="2"/>
                    <w:szCs w:val="20"/>
                  </w:rPr>
                </m:ctrlPr>
              </m:fPr>
              <m:num>
                <m:r>
                  <w:rPr>
                    <w:rFonts w:ascii="Cambria Math" w:hAnsi="Cambria Math"/>
                    <w:kern w:val="2"/>
                    <w:szCs w:val="20"/>
                  </w:rPr>
                  <m:t>v</m:t>
                </m:r>
              </m:num>
              <m:den>
                <m:r>
                  <w:rPr>
                    <w:rFonts w:ascii="Cambria Math" w:hAnsi="Cambria Math"/>
                    <w:kern w:val="2"/>
                    <w:szCs w:val="20"/>
                  </w:rPr>
                  <m:t>2</m:t>
                </m:r>
              </m:den>
            </m:f>
          </m:e>
        </m:d>
      </m:oMath>
      <w:r>
        <w:rPr>
          <w:rFonts w:hint="eastAsia"/>
          <w:bCs/>
          <w:i/>
          <w:iCs/>
          <w:kern w:val="2"/>
          <w:szCs w:val="20"/>
        </w:rPr>
        <w:t xml:space="preserve"> </w:t>
      </w:r>
      <w:r>
        <w:rPr>
          <w:bCs/>
          <w:i/>
          <w:iCs/>
          <w:kern w:val="2"/>
          <w:szCs w:val="20"/>
        </w:rPr>
        <w:t>SD bases for RI = v, where each SD basis is applied to two respective layers except that, if v is odd, the last SD basis is applied to the orphan layer.</w:t>
      </w:r>
    </w:p>
    <w:p w:rsidR="009B70BD" w:rsidRDefault="0051047F">
      <w:pPr>
        <w:numPr>
          <w:ilvl w:val="0"/>
          <w:numId w:val="13"/>
        </w:numPr>
        <w:snapToGrid w:val="0"/>
        <w:spacing w:beforeLines="50" w:before="120" w:afterLines="50" w:after="120" w:line="300" w:lineRule="auto"/>
        <w:rPr>
          <w:bCs/>
          <w:i/>
          <w:iCs/>
          <w:kern w:val="2"/>
          <w:szCs w:val="20"/>
        </w:rPr>
      </w:pPr>
      <w:r>
        <w:rPr>
          <w:bCs/>
          <w:i/>
          <w:iCs/>
          <w:kern w:val="2"/>
          <w:szCs w:val="20"/>
        </w:rPr>
        <w:t>W</w:t>
      </w:r>
      <w:r>
        <w:rPr>
          <w:bCs/>
          <w:i/>
          <w:iCs/>
          <w:kern w:val="2"/>
          <w:szCs w:val="20"/>
          <w:vertAlign w:val="subscript"/>
        </w:rPr>
        <w:t>2</w:t>
      </w:r>
      <w:r>
        <w:rPr>
          <w:bCs/>
          <w:i/>
          <w:iCs/>
          <w:kern w:val="2"/>
          <w:szCs w:val="20"/>
        </w:rPr>
        <w:t xml:space="preserve"> structure:</w:t>
      </w:r>
    </w:p>
    <w:p w:rsidR="009B70BD" w:rsidRDefault="0051047F">
      <w:pPr>
        <w:numPr>
          <w:ilvl w:val="1"/>
          <w:numId w:val="13"/>
        </w:numPr>
        <w:tabs>
          <w:tab w:val="left" w:pos="420"/>
        </w:tabs>
        <w:snapToGrid w:val="0"/>
        <w:spacing w:beforeLines="50" w:before="120" w:afterLines="50" w:after="120" w:line="300" w:lineRule="auto"/>
        <w:rPr>
          <w:bCs/>
          <w:i/>
          <w:iCs/>
          <w:kern w:val="2"/>
          <w:szCs w:val="20"/>
        </w:rPr>
      </w:pPr>
      <w:r>
        <w:rPr>
          <w:bCs/>
          <w:i/>
          <w:iCs/>
          <w:kern w:val="2"/>
          <w:szCs w:val="20"/>
        </w:rPr>
        <w:t xml:space="preserve">M-PSK inter-polarization co-phasing, </w:t>
      </w:r>
      <w:proofErr w:type="spellStart"/>
      <w:r>
        <w:rPr>
          <w:bCs/>
          <w:i/>
          <w:iCs/>
          <w:kern w:val="2"/>
          <w:szCs w:val="20"/>
        </w:rPr>
        <w:t>e.g</w:t>
      </w:r>
      <w:proofErr w:type="spellEnd"/>
      <w:r>
        <w:rPr>
          <w:bCs/>
          <w:i/>
          <w:iCs/>
          <w:kern w:val="2"/>
          <w:szCs w:val="20"/>
        </w:rPr>
        <w:t>, M = 4;</w:t>
      </w:r>
    </w:p>
    <w:p w:rsidR="009B70BD" w:rsidRDefault="0051047F">
      <w:pPr>
        <w:numPr>
          <w:ilvl w:val="1"/>
          <w:numId w:val="13"/>
        </w:numPr>
        <w:tabs>
          <w:tab w:val="left" w:pos="420"/>
        </w:tabs>
        <w:snapToGrid w:val="0"/>
        <w:spacing w:beforeLines="50" w:before="120" w:afterLines="50" w:after="120" w:line="300" w:lineRule="auto"/>
        <w:rPr>
          <w:bCs/>
          <w:i/>
          <w:iCs/>
          <w:kern w:val="2"/>
          <w:szCs w:val="20"/>
        </w:rPr>
      </w:pPr>
      <w:r>
        <w:rPr>
          <w:rFonts w:hint="eastAsia"/>
          <w:bCs/>
          <w:i/>
          <w:iCs/>
          <w:kern w:val="2"/>
          <w:szCs w:val="20"/>
        </w:rPr>
        <w:t>A</w:t>
      </w:r>
      <w:r>
        <w:rPr>
          <w:bCs/>
          <w:i/>
          <w:iCs/>
          <w:kern w:val="2"/>
          <w:szCs w:val="20"/>
        </w:rPr>
        <w:t xml:space="preserve"> fixed </w:t>
      </w:r>
      <m:oMath>
        <m:r>
          <w:rPr>
            <w:rFonts w:ascii="Cambria Math" w:hAnsi="Cambria Math"/>
            <w:kern w:val="2"/>
            <w:szCs w:val="20"/>
          </w:rPr>
          <m:t>π</m:t>
        </m:r>
      </m:oMath>
      <w:r>
        <w:rPr>
          <w:rFonts w:hint="eastAsia"/>
          <w:bCs/>
          <w:i/>
          <w:iCs/>
          <w:kern w:val="2"/>
          <w:szCs w:val="20"/>
        </w:rPr>
        <w:t xml:space="preserve"> </w:t>
      </w:r>
      <w:r>
        <w:rPr>
          <w:bCs/>
          <w:i/>
          <w:iCs/>
          <w:kern w:val="2"/>
          <w:szCs w:val="20"/>
        </w:rPr>
        <w:t>rotation of inter-polarization co-phasing between two layers sharing a same SD basis.</w:t>
      </w:r>
    </w:p>
    <w:p w:rsidR="009B70BD" w:rsidRDefault="0051047F" w:rsidP="002A74A3">
      <w:pPr>
        <w:tabs>
          <w:tab w:val="left" w:pos="432"/>
        </w:tabs>
        <w:snapToGrid w:val="0"/>
        <w:spacing w:before="240" w:afterLines="50" w:after="120" w:line="240" w:lineRule="auto"/>
        <w:outlineLvl w:val="2"/>
        <w:rPr>
          <w:b/>
          <w:sz w:val="24"/>
          <w:szCs w:val="20"/>
        </w:rPr>
      </w:pPr>
      <w:r>
        <w:rPr>
          <w:b/>
          <w:bCs/>
          <w:sz w:val="21"/>
          <w:szCs w:val="21"/>
        </w:rPr>
        <w:t xml:space="preserve">2.2.3 Type-I </w:t>
      </w:r>
      <w:r>
        <w:rPr>
          <w:rFonts w:hint="eastAsia"/>
          <w:b/>
          <w:bCs/>
          <w:sz w:val="21"/>
          <w:szCs w:val="21"/>
        </w:rPr>
        <w:t>C</w:t>
      </w:r>
      <w:r>
        <w:rPr>
          <w:b/>
          <w:bCs/>
          <w:sz w:val="21"/>
          <w:szCs w:val="21"/>
        </w:rPr>
        <w:t>BSR refinement</w:t>
      </w:r>
    </w:p>
    <w:p w:rsidR="009B70BD" w:rsidRDefault="0051047F">
      <w:pPr>
        <w:snapToGrid w:val="0"/>
        <w:spacing w:beforeLines="50" w:before="120" w:afterLines="50" w:after="120" w:line="300" w:lineRule="auto"/>
        <w:rPr>
          <w:bCs/>
          <w:kern w:val="2"/>
          <w:szCs w:val="20"/>
        </w:rPr>
      </w:pPr>
      <w:r>
        <w:rPr>
          <w:bCs/>
          <w:kern w:val="2"/>
          <w:szCs w:val="20"/>
        </w:rPr>
        <w:t xml:space="preserve">For legacy Type-I </w:t>
      </w:r>
      <w:proofErr w:type="spellStart"/>
      <w:r>
        <w:rPr>
          <w:bCs/>
          <w:kern w:val="2"/>
          <w:szCs w:val="20"/>
        </w:rPr>
        <w:t>coodebook</w:t>
      </w:r>
      <w:proofErr w:type="spellEnd"/>
      <w:r>
        <w:rPr>
          <w:rFonts w:hint="eastAsia"/>
          <w:bCs/>
          <w:kern w:val="2"/>
          <w:szCs w:val="20"/>
        </w:rPr>
        <w:t xml:space="preserve">, </w:t>
      </w:r>
      <w:r>
        <w:rPr>
          <w:bCs/>
          <w:kern w:val="2"/>
          <w:szCs w:val="20"/>
        </w:rPr>
        <w:t>each</w:t>
      </w:r>
      <w:r>
        <w:rPr>
          <w:rFonts w:hint="eastAsia"/>
          <w:bCs/>
          <w:kern w:val="2"/>
          <w:szCs w:val="20"/>
        </w:rPr>
        <w:t xml:space="preserve"> bit in the CBSR is associated with a single SD basis. With the number of antenna ports increases, e.g. &gt;</w:t>
      </w:r>
      <w:r w:rsidR="00ED17D2">
        <w:rPr>
          <w:bCs/>
          <w:kern w:val="2"/>
          <w:szCs w:val="20"/>
        </w:rPr>
        <w:t>32</w:t>
      </w:r>
      <w:r>
        <w:rPr>
          <w:rFonts w:hint="eastAsia"/>
          <w:bCs/>
          <w:kern w:val="2"/>
          <w:szCs w:val="20"/>
        </w:rPr>
        <w:t xml:space="preserve">, </w:t>
      </w:r>
      <w:r>
        <w:rPr>
          <w:rFonts w:hint="eastAsia"/>
        </w:rPr>
        <w:t>the</w:t>
      </w:r>
      <w:r w:rsidR="00ED17D2">
        <w:t xml:space="preserve"> overhead</w:t>
      </w:r>
      <w:r>
        <w:rPr>
          <w:rFonts w:hint="eastAsia"/>
        </w:rPr>
        <w:t xml:space="preserve"> of CBSR would be linearly increased.</w:t>
      </w:r>
      <w:r>
        <w:rPr>
          <w:rFonts w:hint="eastAsia"/>
          <w:bCs/>
          <w:kern w:val="2"/>
          <w:szCs w:val="20"/>
        </w:rPr>
        <w:t xml:space="preserve"> e.g., compared to 32 CSI-RS ports, the configuration overhead for 128 CSI-RS ports is increased by </w:t>
      </w:r>
      <w:r w:rsidR="00ED17D2">
        <w:rPr>
          <w:bCs/>
          <w:kern w:val="2"/>
          <w:szCs w:val="20"/>
        </w:rPr>
        <w:t>four</w:t>
      </w:r>
      <w:r w:rsidR="00ED17D2">
        <w:rPr>
          <w:rFonts w:hint="eastAsia"/>
          <w:bCs/>
          <w:kern w:val="2"/>
          <w:szCs w:val="20"/>
        </w:rPr>
        <w:t xml:space="preserve"> </w:t>
      </w:r>
      <w:r>
        <w:rPr>
          <w:rFonts w:hint="eastAsia"/>
          <w:bCs/>
          <w:kern w:val="2"/>
          <w:szCs w:val="20"/>
        </w:rPr>
        <w:t>times. As the number of the antenna ports increas</w:t>
      </w:r>
      <w:r w:rsidR="008B3F80">
        <w:rPr>
          <w:bCs/>
          <w:kern w:val="2"/>
          <w:szCs w:val="20"/>
        </w:rPr>
        <w:t>es</w:t>
      </w:r>
      <w:r>
        <w:rPr>
          <w:rFonts w:hint="eastAsia"/>
          <w:bCs/>
          <w:kern w:val="2"/>
          <w:szCs w:val="20"/>
        </w:rPr>
        <w:t xml:space="preserve">, the </w:t>
      </w:r>
      <w:r w:rsidR="008B3F80">
        <w:rPr>
          <w:bCs/>
          <w:kern w:val="2"/>
          <w:szCs w:val="20"/>
        </w:rPr>
        <w:t>CBSR granularity becomes finer</w:t>
      </w:r>
      <w:r>
        <w:rPr>
          <w:rFonts w:hint="eastAsia"/>
          <w:bCs/>
          <w:kern w:val="2"/>
          <w:szCs w:val="20"/>
        </w:rPr>
        <w:t xml:space="preserve">, </w:t>
      </w:r>
      <w:r w:rsidR="008B3F80">
        <w:rPr>
          <w:bCs/>
          <w:kern w:val="2"/>
          <w:szCs w:val="20"/>
        </w:rPr>
        <w:t>but the</w:t>
      </w:r>
      <w:r w:rsidR="008B3F80">
        <w:rPr>
          <w:rFonts w:hint="eastAsia"/>
          <w:bCs/>
          <w:kern w:val="2"/>
          <w:szCs w:val="20"/>
        </w:rPr>
        <w:t xml:space="preserve"> </w:t>
      </w:r>
      <w:r w:rsidR="008B3F80">
        <w:rPr>
          <w:bCs/>
          <w:kern w:val="2"/>
          <w:szCs w:val="20"/>
        </w:rPr>
        <w:t>finer</w:t>
      </w:r>
      <w:r w:rsidR="008B3F80">
        <w:rPr>
          <w:rFonts w:hint="eastAsia"/>
          <w:bCs/>
          <w:kern w:val="2"/>
          <w:szCs w:val="20"/>
        </w:rPr>
        <w:t xml:space="preserve"> </w:t>
      </w:r>
      <w:r>
        <w:rPr>
          <w:rFonts w:hint="eastAsia"/>
          <w:bCs/>
          <w:kern w:val="2"/>
          <w:szCs w:val="20"/>
        </w:rPr>
        <w:t xml:space="preserve">granularity may not necessarily bring effective performance gains. </w:t>
      </w:r>
    </w:p>
    <w:p w:rsidR="009B70BD" w:rsidRDefault="0051047F">
      <w:pPr>
        <w:snapToGrid w:val="0"/>
        <w:spacing w:beforeLines="50" w:before="120" w:afterLines="50" w:after="120" w:line="300" w:lineRule="auto"/>
        <w:rPr>
          <w:bCs/>
          <w:kern w:val="2"/>
          <w:szCs w:val="20"/>
        </w:rPr>
      </w:pPr>
      <w:r>
        <w:rPr>
          <w:rFonts w:hint="eastAsia"/>
          <w:bCs/>
          <w:kern w:val="2"/>
          <w:szCs w:val="20"/>
        </w:rPr>
        <w:t>For example, our recent simulation results indicate that (see Section</w:t>
      </w:r>
      <w:r w:rsidR="00EF0163">
        <w:rPr>
          <w:bCs/>
          <w:kern w:val="2"/>
          <w:szCs w:val="20"/>
        </w:rPr>
        <w:t xml:space="preserve"> </w:t>
      </w:r>
      <w:r>
        <w:rPr>
          <w:rFonts w:hint="eastAsia"/>
          <w:bCs/>
          <w:kern w:val="2"/>
          <w:szCs w:val="20"/>
        </w:rPr>
        <w:t xml:space="preserve">4), due to the DFT basis structure of Type1 codebooks, many </w:t>
      </w:r>
      <w:r>
        <w:rPr>
          <w:bCs/>
          <w:kern w:val="2"/>
          <w:szCs w:val="20"/>
        </w:rPr>
        <w:t>consecutive</w:t>
      </w:r>
      <w:r>
        <w:rPr>
          <w:rFonts w:hint="eastAsia"/>
          <w:bCs/>
          <w:kern w:val="2"/>
          <w:szCs w:val="20"/>
        </w:rPr>
        <w:t xml:space="preserve"> SD basis vectors will not be selected in practical applications, and the proportion of these basis vectors is almost independent of the beam granularity when CSI-RS ports &gt;32. Considering the coexistence of 5G and satellite communication systems, many </w:t>
      </w:r>
      <w:r>
        <w:rPr>
          <w:bCs/>
          <w:kern w:val="2"/>
          <w:szCs w:val="20"/>
        </w:rPr>
        <w:t>consecutive</w:t>
      </w:r>
      <w:r>
        <w:rPr>
          <w:rFonts w:hint="eastAsia"/>
          <w:bCs/>
          <w:kern w:val="2"/>
          <w:szCs w:val="20"/>
        </w:rPr>
        <w:t xml:space="preserve"> beams </w:t>
      </w:r>
      <w:r w:rsidR="006B76DE">
        <w:rPr>
          <w:bCs/>
          <w:kern w:val="2"/>
          <w:szCs w:val="20"/>
        </w:rPr>
        <w:t>towards</w:t>
      </w:r>
      <w:r w:rsidR="006B76DE">
        <w:rPr>
          <w:rFonts w:hint="eastAsia"/>
          <w:bCs/>
          <w:kern w:val="2"/>
          <w:szCs w:val="20"/>
        </w:rPr>
        <w:t xml:space="preserve"> </w:t>
      </w:r>
      <w:r>
        <w:rPr>
          <w:rFonts w:hint="eastAsia"/>
          <w:bCs/>
          <w:kern w:val="2"/>
          <w:szCs w:val="20"/>
        </w:rPr>
        <w:t xml:space="preserve">the sky </w:t>
      </w:r>
      <w:r w:rsidR="00EF0163">
        <w:rPr>
          <w:bCs/>
          <w:kern w:val="2"/>
          <w:szCs w:val="20"/>
        </w:rPr>
        <w:t>should</w:t>
      </w:r>
      <w:r w:rsidR="00EF0163">
        <w:rPr>
          <w:rFonts w:hint="eastAsia"/>
          <w:bCs/>
          <w:kern w:val="2"/>
          <w:szCs w:val="20"/>
        </w:rPr>
        <w:t xml:space="preserve"> </w:t>
      </w:r>
      <w:r>
        <w:rPr>
          <w:rFonts w:hint="eastAsia"/>
          <w:bCs/>
          <w:kern w:val="2"/>
          <w:szCs w:val="20"/>
        </w:rPr>
        <w:t xml:space="preserve">also not be selected. Thus, maintaining the current CBSR granularity may be a cost-effective option. </w:t>
      </w:r>
    </w:p>
    <w:p w:rsidR="009B70BD" w:rsidRDefault="0051047F">
      <w:pPr>
        <w:snapToGrid w:val="0"/>
        <w:spacing w:beforeLines="50" w:before="120" w:afterLines="50" w:after="120" w:line="300" w:lineRule="auto"/>
      </w:pPr>
      <w:r>
        <w:rPr>
          <w:rFonts w:hint="eastAsia"/>
          <w:bCs/>
          <w:kern w:val="2"/>
          <w:szCs w:val="20"/>
        </w:rPr>
        <w:t xml:space="preserve">As shown in Figure </w:t>
      </w:r>
      <w:r w:rsidR="00ED17D2">
        <w:rPr>
          <w:bCs/>
          <w:kern w:val="2"/>
          <w:szCs w:val="20"/>
        </w:rPr>
        <w:t>5</w:t>
      </w:r>
      <w:r>
        <w:rPr>
          <w:rFonts w:hint="eastAsia"/>
          <w:bCs/>
          <w:kern w:val="2"/>
          <w:szCs w:val="20"/>
        </w:rPr>
        <w:t xml:space="preserve">, the following </w:t>
      </w:r>
      <w:r w:rsidR="00B12AAF">
        <w:rPr>
          <w:bCs/>
          <w:kern w:val="2"/>
          <w:szCs w:val="20"/>
        </w:rPr>
        <w:t>method</w:t>
      </w:r>
      <w:r w:rsidR="00B12AAF">
        <w:rPr>
          <w:rFonts w:hint="eastAsia"/>
          <w:bCs/>
          <w:kern w:val="2"/>
          <w:szCs w:val="20"/>
        </w:rPr>
        <w:t xml:space="preserve"> </w:t>
      </w:r>
      <w:r>
        <w:rPr>
          <w:rFonts w:hint="eastAsia"/>
        </w:rPr>
        <w:t>can be adopted</w:t>
      </w:r>
      <w:r>
        <w:rPr>
          <w:rFonts w:hint="eastAsia"/>
          <w:bCs/>
          <w:kern w:val="2"/>
          <w:szCs w:val="20"/>
        </w:rPr>
        <w:t xml:space="preserve"> to map multiple </w:t>
      </w:r>
      <w:r>
        <w:rPr>
          <w:bCs/>
          <w:kern w:val="2"/>
          <w:szCs w:val="20"/>
        </w:rPr>
        <w:t>consecutive</w:t>
      </w:r>
      <w:r>
        <w:rPr>
          <w:rFonts w:hint="eastAsia"/>
          <w:bCs/>
          <w:kern w:val="2"/>
          <w:szCs w:val="20"/>
        </w:rPr>
        <w:t xml:space="preserve"> SD basis vectors to one bit of the CBSR</w:t>
      </w:r>
      <w:r>
        <w:rPr>
          <w:rFonts w:hint="eastAsia"/>
        </w:rPr>
        <w:t>：</w:t>
      </w:r>
    </w:p>
    <w:p w:rsidR="009B70BD" w:rsidRDefault="0051047F">
      <w:pPr>
        <w:numPr>
          <w:ilvl w:val="0"/>
          <w:numId w:val="13"/>
        </w:numPr>
        <w:snapToGrid w:val="0"/>
        <w:spacing w:beforeLines="50" w:before="120" w:afterLines="50" w:after="120" w:line="300" w:lineRule="auto"/>
      </w:pPr>
      <w:r>
        <w:rPr>
          <w:rFonts w:hint="eastAsia"/>
        </w:rPr>
        <w:t xml:space="preserve">Step 1: Determine the grid size indices </w:t>
      </w:r>
      <m:oMath>
        <m:r>
          <m:rPr>
            <m:sty m:val="p"/>
          </m:rPr>
          <w:rPr>
            <w:rFonts w:ascii="Cambria Math" w:hAnsi="Cambria Math" w:hint="eastAsia"/>
          </w:rPr>
          <m:t>(</m:t>
        </m:r>
        <m:sSub>
          <m:sSubPr>
            <m:ctrlPr>
              <w:rPr>
                <w:rFonts w:ascii="Cambria Math" w:hAnsi="Cambria Math" w:hint="eastAsia"/>
              </w:rPr>
            </m:ctrlPr>
          </m:sSubPr>
          <m:e>
            <m:r>
              <w:rPr>
                <w:rFonts w:ascii="Cambria Math" w:hAnsi="Cambria Math"/>
              </w:rPr>
              <m:t>X</m:t>
            </m:r>
          </m:e>
          <m:sub>
            <m:r>
              <m:rPr>
                <m:sty m:val="p"/>
              </m:rPr>
              <w:rPr>
                <w:rFonts w:ascii="Cambria Math" w:hAnsi="Cambria Math"/>
              </w:rPr>
              <m:t>1</m:t>
            </m:r>
          </m:sub>
        </m:sSub>
        <m:r>
          <m:rPr>
            <m:sty m:val="p"/>
          </m:rPr>
          <w:rPr>
            <w:rFonts w:ascii="Cambria Math" w:hAnsi="Cambria Math" w:hint="eastAsia"/>
          </w:rPr>
          <m:t xml:space="preserve">, </m:t>
        </m:r>
        <m:sSub>
          <m:sSubPr>
            <m:ctrlPr>
              <w:rPr>
                <w:rFonts w:ascii="Cambria Math" w:hAnsi="Cambria Math" w:hint="eastAsia"/>
              </w:rPr>
            </m:ctrlPr>
          </m:sSubPr>
          <m:e>
            <m:r>
              <w:rPr>
                <w:rFonts w:ascii="Cambria Math" w:hAnsi="Cambria Math"/>
              </w:rPr>
              <m:t>X</m:t>
            </m:r>
          </m:e>
          <m:sub>
            <m:r>
              <m:rPr>
                <m:sty m:val="p"/>
              </m:rPr>
              <w:rPr>
                <w:rFonts w:ascii="Cambria Math" w:hAnsi="Cambria Math"/>
              </w:rPr>
              <m:t>2</m:t>
            </m:r>
          </m:sub>
        </m:sSub>
        <m:r>
          <m:rPr>
            <m:sty m:val="p"/>
          </m:rPr>
          <w:rPr>
            <w:rFonts w:ascii="Cambria Math" w:hAnsi="Cambria Math" w:hint="eastAsia"/>
          </w:rPr>
          <m:t>)</m:t>
        </m:r>
      </m:oMath>
      <w:r>
        <w:rPr>
          <w:rFonts w:hint="eastAsia"/>
        </w:rPr>
        <w:t>;</w:t>
      </w:r>
    </w:p>
    <w:p w:rsidR="009B70BD" w:rsidRDefault="0051047F">
      <w:pPr>
        <w:numPr>
          <w:ilvl w:val="0"/>
          <w:numId w:val="13"/>
        </w:numPr>
        <w:snapToGrid w:val="0"/>
        <w:spacing w:beforeLines="50" w:before="120" w:afterLines="50" w:after="120" w:line="300" w:lineRule="auto"/>
      </w:pPr>
      <w:r>
        <w:rPr>
          <w:rFonts w:hint="eastAsia"/>
        </w:rPr>
        <w:t xml:space="preserve">Step 2: </w:t>
      </w:r>
      <w:r>
        <w:rPr>
          <w:rFonts w:hint="eastAsia"/>
          <w:bCs/>
          <w:kern w:val="2"/>
          <w:szCs w:val="20"/>
        </w:rPr>
        <w:t>N</w:t>
      </w:r>
      <w:r>
        <w:rPr>
          <w:rFonts w:hint="eastAsia"/>
          <w:bCs/>
          <w:kern w:val="2"/>
          <w:szCs w:val="20"/>
          <w:vertAlign w:val="subscript"/>
        </w:rPr>
        <w:t>1</w:t>
      </w:r>
      <w:r>
        <w:rPr>
          <w:rFonts w:hint="eastAsia"/>
          <w:bCs/>
          <w:kern w:val="2"/>
          <w:szCs w:val="20"/>
        </w:rPr>
        <w:t>O</w:t>
      </w:r>
      <w:r>
        <w:rPr>
          <w:rFonts w:hint="eastAsia"/>
          <w:bCs/>
          <w:kern w:val="2"/>
          <w:szCs w:val="20"/>
          <w:vertAlign w:val="subscript"/>
        </w:rPr>
        <w:t>1</w:t>
      </w:r>
      <w:r>
        <w:rPr>
          <w:rFonts w:hint="eastAsia"/>
          <w:bCs/>
          <w:kern w:val="2"/>
          <w:szCs w:val="20"/>
        </w:rPr>
        <w:t>N</w:t>
      </w:r>
      <w:r>
        <w:rPr>
          <w:rFonts w:hint="eastAsia"/>
          <w:bCs/>
          <w:kern w:val="2"/>
          <w:szCs w:val="20"/>
          <w:vertAlign w:val="subscript"/>
        </w:rPr>
        <w:t>2</w:t>
      </w:r>
      <w:r>
        <w:rPr>
          <w:rFonts w:hint="eastAsia"/>
          <w:bCs/>
          <w:kern w:val="2"/>
          <w:szCs w:val="20"/>
        </w:rPr>
        <w:t>O</w:t>
      </w:r>
      <w:r>
        <w:rPr>
          <w:rFonts w:hint="eastAsia"/>
          <w:bCs/>
          <w:kern w:val="2"/>
          <w:szCs w:val="20"/>
          <w:vertAlign w:val="subscript"/>
        </w:rPr>
        <w:t>2</w:t>
      </w:r>
      <w:r>
        <w:rPr>
          <w:rFonts w:hint="eastAsia"/>
          <w:bCs/>
          <w:kern w:val="2"/>
          <w:szCs w:val="20"/>
        </w:rPr>
        <w:t xml:space="preserve"> SD bases is divided into </w:t>
      </w:r>
      <m:oMath>
        <m:sSub>
          <m:sSubPr>
            <m:ctrlPr>
              <w:rPr>
                <w:rFonts w:ascii="Cambria Math" w:hAnsi="Cambria Math" w:hint="eastAsia"/>
              </w:rPr>
            </m:ctrlPr>
          </m:sSubPr>
          <m:e>
            <m:r>
              <w:rPr>
                <w:rFonts w:ascii="Cambria Math" w:hAnsi="Cambria Math"/>
              </w:rPr>
              <m:t>N</m:t>
            </m:r>
          </m:e>
          <m:sub>
            <m:r>
              <m:rPr>
                <m:sty m:val="p"/>
              </m:rPr>
              <w:rPr>
                <w:rFonts w:ascii="Cambria Math" w:hAnsi="Cambria Math"/>
              </w:rPr>
              <m:t>1</m:t>
            </m:r>
          </m:sub>
        </m:sSub>
        <m:sSub>
          <m:sSubPr>
            <m:ctrlPr>
              <w:rPr>
                <w:rFonts w:ascii="Cambria Math" w:hAnsi="Cambria Math" w:hint="eastAsia"/>
              </w:rPr>
            </m:ctrlPr>
          </m:sSubPr>
          <m:e>
            <m:r>
              <w:rPr>
                <w:rFonts w:ascii="Cambria Math" w:hAnsi="Cambria Math"/>
              </w:rPr>
              <m:t>O</m:t>
            </m:r>
          </m:e>
          <m:sub>
            <m:r>
              <m:rPr>
                <m:sty m:val="p"/>
              </m:rPr>
              <w:rPr>
                <w:rFonts w:ascii="Cambria Math" w:hAnsi="Cambria Math"/>
              </w:rPr>
              <m:t>1</m:t>
            </m:r>
          </m:sub>
        </m:sSub>
        <m:sSub>
          <m:sSubPr>
            <m:ctrlPr>
              <w:rPr>
                <w:rFonts w:ascii="Cambria Math" w:hAnsi="Cambria Math" w:hint="eastAsia"/>
              </w:rPr>
            </m:ctrlPr>
          </m:sSubPr>
          <m:e>
            <m:r>
              <w:rPr>
                <w:rFonts w:ascii="Cambria Math" w:hAnsi="Cambria Math"/>
              </w:rPr>
              <m:t>N</m:t>
            </m:r>
          </m:e>
          <m:sub>
            <m:r>
              <m:rPr>
                <m:sty m:val="p"/>
              </m:rPr>
              <w:rPr>
                <w:rFonts w:ascii="Cambria Math" w:hAnsi="Cambria Math"/>
              </w:rPr>
              <m:t>2</m:t>
            </m:r>
          </m:sub>
        </m:sSub>
        <m:sSub>
          <m:sSubPr>
            <m:ctrlPr>
              <w:rPr>
                <w:rFonts w:ascii="Cambria Math" w:hAnsi="Cambria Math" w:hint="eastAsia"/>
              </w:rPr>
            </m:ctrlPr>
          </m:sSubPr>
          <m:e>
            <m:r>
              <w:rPr>
                <w:rFonts w:ascii="Cambria Math" w:hAnsi="Cambria Math"/>
              </w:rPr>
              <m:t>O</m:t>
            </m:r>
          </m:e>
          <m:sub>
            <m:r>
              <m:rPr>
                <m:sty m:val="p"/>
              </m:rPr>
              <w:rPr>
                <w:rFonts w:ascii="Cambria Math" w:hAnsi="Cambria Math"/>
              </w:rPr>
              <m:t>2</m:t>
            </m:r>
          </m:sub>
        </m:sSub>
        <m:r>
          <m:rPr>
            <m:sty m:val="p"/>
          </m:rPr>
          <w:rPr>
            <w:rFonts w:ascii="Cambria Math" w:hAnsi="Cambria Math"/>
          </w:rPr>
          <m:t>/(</m:t>
        </m:r>
        <m:sSub>
          <m:sSubPr>
            <m:ctrlPr>
              <w:rPr>
                <w:rFonts w:ascii="Cambria Math" w:hAnsi="Cambria Math" w:hint="eastAsia"/>
              </w:rPr>
            </m:ctrlPr>
          </m:sSubPr>
          <m:e>
            <m:r>
              <w:rPr>
                <w:rFonts w:ascii="Cambria Math" w:hAnsi="Cambria Math"/>
              </w:rPr>
              <m:t>X</m:t>
            </m:r>
          </m:e>
          <m:sub>
            <m:r>
              <m:rPr>
                <m:sty m:val="p"/>
              </m:rPr>
              <w:rPr>
                <w:rFonts w:ascii="Cambria Math" w:hAnsi="Cambria Math"/>
              </w:rPr>
              <m:t>1</m:t>
            </m:r>
          </m:sub>
        </m:sSub>
        <m:sSub>
          <m:sSubPr>
            <m:ctrlPr>
              <w:rPr>
                <w:rFonts w:ascii="Cambria Math" w:hAnsi="Cambria Math" w:hint="eastAsia"/>
              </w:rPr>
            </m:ctrlPr>
          </m:sSubPr>
          <m:e>
            <m:r>
              <w:rPr>
                <w:rFonts w:ascii="Cambria Math" w:hAnsi="Cambria Math"/>
              </w:rPr>
              <m:t>X</m:t>
            </m:r>
          </m:e>
          <m:sub>
            <m:r>
              <m:rPr>
                <m:sty m:val="p"/>
              </m:rPr>
              <w:rPr>
                <w:rFonts w:ascii="Cambria Math" w:hAnsi="Cambria Math"/>
              </w:rPr>
              <m:t>2</m:t>
            </m:r>
          </m:sub>
        </m:sSub>
        <m:r>
          <m:rPr>
            <m:sty m:val="p"/>
          </m:rPr>
          <w:rPr>
            <w:rFonts w:ascii="Cambria Math" w:hAnsi="Cambria Math"/>
          </w:rPr>
          <m:t>)</m:t>
        </m:r>
      </m:oMath>
      <w:r>
        <w:rPr>
          <w:rFonts w:hAnsi="Cambria Math" w:hint="eastAsia"/>
        </w:rPr>
        <w:t xml:space="preserve"> groups</w:t>
      </w:r>
      <w:r w:rsidR="00ED17D2">
        <w:rPr>
          <w:rFonts w:hAnsi="Cambria Math"/>
        </w:rPr>
        <w:t>;</w:t>
      </w:r>
    </w:p>
    <w:p w:rsidR="009B70BD" w:rsidRDefault="0051047F">
      <w:pPr>
        <w:numPr>
          <w:ilvl w:val="0"/>
          <w:numId w:val="13"/>
        </w:numPr>
        <w:snapToGrid w:val="0"/>
        <w:spacing w:beforeLines="50" w:before="120" w:afterLines="50" w:after="120" w:line="300" w:lineRule="auto"/>
      </w:pPr>
      <w:r>
        <w:rPr>
          <w:rFonts w:hAnsi="Cambria Math" w:hint="eastAsia"/>
        </w:rPr>
        <w:t>Step 3: each bit in the CBSR is mapped to a group</w:t>
      </w:r>
      <w:r w:rsidR="00ED17D2">
        <w:rPr>
          <w:rFonts w:hAnsi="Cambria Math"/>
        </w:rPr>
        <w:t>.</w:t>
      </w:r>
    </w:p>
    <w:p w:rsidR="009B70BD" w:rsidRDefault="0051047F">
      <w:pPr>
        <w:snapToGrid w:val="0"/>
        <w:spacing w:beforeLines="50" w:before="120" w:afterLines="50" w:after="120" w:line="300" w:lineRule="auto"/>
        <w:jc w:val="center"/>
      </w:pPr>
      <w:r>
        <w:rPr>
          <w:noProof/>
        </w:rPr>
        <w:drawing>
          <wp:inline distT="0" distB="0" distL="0" distR="0">
            <wp:extent cx="2533650" cy="2033270"/>
            <wp:effectExtent l="0" t="0" r="11430" b="8890"/>
            <wp:docPr id="10" name="图片 12"/>
            <wp:cNvGraphicFramePr/>
            <a:graphic xmlns:a="http://schemas.openxmlformats.org/drawingml/2006/main">
              <a:graphicData uri="http://schemas.openxmlformats.org/drawingml/2006/picture">
                <pic:pic xmlns:pic="http://schemas.openxmlformats.org/drawingml/2006/picture">
                  <pic:nvPicPr>
                    <pic:cNvPr id="10" name="图片 12"/>
                    <pic:cNvPicPr/>
                  </pic:nvPicPr>
                  <pic:blipFill>
                    <a:blip r:embed="rId12"/>
                    <a:stretch>
                      <a:fillRect/>
                    </a:stretch>
                  </pic:blipFill>
                  <pic:spPr>
                    <a:xfrm>
                      <a:off x="0" y="0"/>
                      <a:ext cx="2536928" cy="2035901"/>
                    </a:xfrm>
                    <a:prstGeom prst="rect">
                      <a:avLst/>
                    </a:prstGeom>
                    <a:noFill/>
                    <a:ln>
                      <a:noFill/>
                    </a:ln>
                  </pic:spPr>
                </pic:pic>
              </a:graphicData>
            </a:graphic>
          </wp:inline>
        </w:drawing>
      </w:r>
    </w:p>
    <w:p w:rsidR="009B70BD" w:rsidRDefault="0051047F">
      <w:pPr>
        <w:snapToGrid w:val="0"/>
        <w:spacing w:beforeLines="50" w:before="120" w:afterLines="50" w:after="120" w:line="300" w:lineRule="auto"/>
        <w:jc w:val="center"/>
      </w:pPr>
      <w:r w:rsidRPr="002A74A3">
        <w:rPr>
          <w:b/>
        </w:rPr>
        <w:t xml:space="preserve">Figure </w:t>
      </w:r>
      <w:r w:rsidR="00ED17D2" w:rsidRPr="002A74A3">
        <w:rPr>
          <w:b/>
        </w:rPr>
        <w:t>5</w:t>
      </w:r>
      <w:r>
        <w:rPr>
          <w:rFonts w:hint="eastAsia"/>
        </w:rPr>
        <w:t xml:space="preserve"> CBSR</w:t>
      </w:r>
      <w:r w:rsidR="00A25F24">
        <w:t xml:space="preserve"> refinement</w:t>
      </w:r>
      <w:r>
        <w:rPr>
          <w:rFonts w:hint="eastAsia"/>
        </w:rPr>
        <w:t xml:space="preserve"> for Type-I codebook </w:t>
      </w:r>
    </w:p>
    <w:p w:rsidR="009B70BD" w:rsidRDefault="0051047F">
      <w:pPr>
        <w:snapToGrid w:val="0"/>
        <w:spacing w:beforeLines="50" w:before="120" w:afterLines="50" w:after="120" w:line="300" w:lineRule="auto"/>
        <w:rPr>
          <w:bCs/>
          <w:i/>
          <w:iCs/>
          <w:kern w:val="2"/>
          <w:szCs w:val="20"/>
        </w:rPr>
      </w:pPr>
      <w:bookmarkStart w:id="2" w:name="_Hlk163152951"/>
      <w:r>
        <w:rPr>
          <w:rFonts w:hint="eastAsia"/>
          <w:b/>
          <w:i/>
          <w:iCs/>
          <w:kern w:val="2"/>
          <w:szCs w:val="20"/>
        </w:rPr>
        <w:lastRenderedPageBreak/>
        <w:t xml:space="preserve">Proposal </w:t>
      </w:r>
      <w:r w:rsidR="00ED17D2">
        <w:rPr>
          <w:b/>
          <w:i/>
          <w:iCs/>
          <w:kern w:val="2"/>
          <w:szCs w:val="20"/>
        </w:rPr>
        <w:t>10</w:t>
      </w:r>
      <w:r>
        <w:rPr>
          <w:rFonts w:hint="eastAsia"/>
          <w:b/>
          <w:i/>
          <w:iCs/>
          <w:kern w:val="2"/>
          <w:szCs w:val="20"/>
        </w:rPr>
        <w:t xml:space="preserve">: </w:t>
      </w:r>
      <w:r>
        <w:rPr>
          <w:rFonts w:hint="eastAsia"/>
          <w:bCs/>
          <w:i/>
          <w:iCs/>
        </w:rPr>
        <w:t>Regarding Rel-19 Type-I and Type-II codebook refinement</w:t>
      </w:r>
      <w:r>
        <w:rPr>
          <w:bCs/>
          <w:i/>
          <w:iCs/>
        </w:rPr>
        <w:t>, support the following hard CBSR refinement for Type-I codebook to reduce the RRC overhead:</w:t>
      </w:r>
    </w:p>
    <w:p w:rsidR="009B70BD" w:rsidRDefault="0051047F">
      <w:pPr>
        <w:numPr>
          <w:ilvl w:val="0"/>
          <w:numId w:val="13"/>
        </w:numPr>
        <w:snapToGrid w:val="0"/>
        <w:spacing w:beforeLines="50" w:before="120" w:afterLines="50" w:after="120" w:line="300" w:lineRule="auto"/>
        <w:rPr>
          <w:i/>
          <w:iCs/>
        </w:rPr>
      </w:pPr>
      <w:r>
        <w:rPr>
          <w:i/>
          <w:iCs/>
        </w:rPr>
        <w:t>Each bit in the CBSR is associated with a set of X</w:t>
      </w:r>
      <w:r>
        <w:rPr>
          <w:i/>
          <w:iCs/>
          <w:vertAlign w:val="subscript"/>
        </w:rPr>
        <w:t>1</w:t>
      </w:r>
      <w:r>
        <w:rPr>
          <w:i/>
          <w:iCs/>
        </w:rPr>
        <w:t>X</w:t>
      </w:r>
      <w:r>
        <w:rPr>
          <w:i/>
          <w:iCs/>
          <w:vertAlign w:val="subscript"/>
        </w:rPr>
        <w:t>2</w:t>
      </w:r>
      <w:r>
        <w:rPr>
          <w:i/>
          <w:iCs/>
        </w:rPr>
        <w:t xml:space="preserve"> SD bases, where the set includes X</w:t>
      </w:r>
      <w:r>
        <w:rPr>
          <w:i/>
          <w:iCs/>
          <w:vertAlign w:val="subscript"/>
        </w:rPr>
        <w:t>1</w:t>
      </w:r>
      <w:r>
        <w:rPr>
          <w:i/>
          <w:iCs/>
        </w:rPr>
        <w:t xml:space="preserve"> SD bases along the N</w:t>
      </w:r>
      <w:r>
        <w:rPr>
          <w:i/>
          <w:iCs/>
          <w:vertAlign w:val="subscript"/>
        </w:rPr>
        <w:t>1</w:t>
      </w:r>
      <w:r>
        <w:rPr>
          <w:i/>
          <w:iCs/>
        </w:rPr>
        <w:t xml:space="preserve"> direction and X</w:t>
      </w:r>
      <w:r>
        <w:rPr>
          <w:i/>
          <w:iCs/>
          <w:vertAlign w:val="subscript"/>
        </w:rPr>
        <w:t>2</w:t>
      </w:r>
      <w:r>
        <w:rPr>
          <w:i/>
          <w:iCs/>
        </w:rPr>
        <w:t xml:space="preserve"> SD bases along the N</w:t>
      </w:r>
      <w:r>
        <w:rPr>
          <w:i/>
          <w:iCs/>
          <w:vertAlign w:val="subscript"/>
        </w:rPr>
        <w:t>2</w:t>
      </w:r>
      <w:r>
        <w:rPr>
          <w:i/>
          <w:iCs/>
        </w:rPr>
        <w:t xml:space="preserve"> direction.</w:t>
      </w:r>
      <w:bookmarkEnd w:id="2"/>
    </w:p>
    <w:p w:rsidR="009B70BD" w:rsidRDefault="0051047F" w:rsidP="002A74A3">
      <w:pPr>
        <w:numPr>
          <w:ilvl w:val="1"/>
          <w:numId w:val="8"/>
        </w:numPr>
        <w:tabs>
          <w:tab w:val="clear" w:pos="576"/>
        </w:tabs>
        <w:snapToGrid w:val="0"/>
        <w:spacing w:before="240" w:afterLines="50" w:after="120" w:line="240" w:lineRule="auto"/>
        <w:ind w:left="567" w:hanging="567"/>
        <w:outlineLvl w:val="1"/>
      </w:pPr>
      <w:r>
        <w:rPr>
          <w:rFonts w:hint="eastAsia"/>
          <w:b/>
          <w:sz w:val="24"/>
          <w:szCs w:val="20"/>
        </w:rPr>
        <w:t>Type-</w:t>
      </w:r>
      <w:r>
        <w:rPr>
          <w:b/>
          <w:sz w:val="24"/>
          <w:szCs w:val="20"/>
        </w:rPr>
        <w:t>II</w:t>
      </w:r>
      <w:r>
        <w:rPr>
          <w:rFonts w:hint="eastAsia"/>
          <w:b/>
          <w:sz w:val="24"/>
          <w:szCs w:val="20"/>
        </w:rPr>
        <w:t xml:space="preserve"> codebook refinement </w:t>
      </w:r>
    </w:p>
    <w:tbl>
      <w:tblPr>
        <w:tblStyle w:val="af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70BD">
        <w:tc>
          <w:tcPr>
            <w:tcW w:w="9576" w:type="dxa"/>
          </w:tcPr>
          <w:p w:rsidR="009B70BD" w:rsidRDefault="0051047F">
            <w:pPr>
              <w:widowControl w:val="0"/>
              <w:snapToGrid w:val="0"/>
              <w:spacing w:after="0" w:line="300" w:lineRule="auto"/>
              <w:rPr>
                <w:szCs w:val="20"/>
                <w:u w:val="single"/>
              </w:rPr>
            </w:pPr>
            <w:r>
              <w:rPr>
                <w:b/>
                <w:szCs w:val="20"/>
                <w:u w:val="single"/>
              </w:rPr>
              <w:t>Agreement (RAN1#116)</w:t>
            </w:r>
          </w:p>
          <w:p w:rsidR="009B70BD" w:rsidRPr="002A74A3" w:rsidRDefault="0051047F">
            <w:pPr>
              <w:widowControl w:val="0"/>
              <w:snapToGrid w:val="0"/>
              <w:spacing w:after="0" w:line="240" w:lineRule="exact"/>
              <w:jc w:val="left"/>
              <w:rPr>
                <w:rFonts w:eastAsia="Batang"/>
                <w:iCs/>
                <w:szCs w:val="20"/>
                <w:lang w:val="en-GB" w:eastAsia="en-US"/>
              </w:rPr>
            </w:pPr>
            <w:r w:rsidRPr="002A74A3">
              <w:rPr>
                <w:rFonts w:eastAsia="Batang"/>
                <w:iCs/>
                <w:szCs w:val="20"/>
                <w:lang w:val="en-GB" w:eastAsia="en-US"/>
              </w:rPr>
              <w:t xml:space="preserve">For the Rel-19 Type-II codebook refinement for up to 128 CSI-RS ports, </w:t>
            </w:r>
          </w:p>
          <w:p w:rsidR="009B70BD" w:rsidRPr="002A74A3" w:rsidRDefault="0051047F">
            <w:pPr>
              <w:widowControl w:val="0"/>
              <w:numPr>
                <w:ilvl w:val="0"/>
                <w:numId w:val="15"/>
              </w:numPr>
              <w:snapToGrid w:val="0"/>
              <w:spacing w:after="0" w:line="240" w:lineRule="exact"/>
              <w:rPr>
                <w:rFonts w:eastAsia="Batang"/>
                <w:iCs/>
                <w:szCs w:val="20"/>
                <w:lang w:val="en-GB" w:eastAsia="en-US"/>
              </w:rPr>
            </w:pPr>
            <w:r w:rsidRPr="002A74A3">
              <w:rPr>
                <w:rFonts w:eastAsia="Batang"/>
                <w:iCs/>
                <w:szCs w:val="20"/>
                <w:lang w:val="en-GB" w:eastAsia="en-US"/>
              </w:rPr>
              <w:t xml:space="preserve">Fully reuse the legacy Rel-16 </w:t>
            </w:r>
            <w:proofErr w:type="spellStart"/>
            <w:r w:rsidRPr="002A74A3">
              <w:rPr>
                <w:rFonts w:eastAsia="Batang"/>
                <w:iCs/>
                <w:szCs w:val="20"/>
                <w:lang w:val="en-GB" w:eastAsia="en-US"/>
              </w:rPr>
              <w:t>eType</w:t>
            </w:r>
            <w:proofErr w:type="spellEnd"/>
            <w:r w:rsidRPr="002A74A3">
              <w:rPr>
                <w:rFonts w:eastAsia="Batang"/>
                <w:iCs/>
                <w:szCs w:val="20"/>
                <w:lang w:val="en-GB" w:eastAsia="en-US"/>
              </w:rPr>
              <w:t xml:space="preserve">-II design (and for PS codebook, the Rel-17 </w:t>
            </w:r>
            <w:proofErr w:type="spellStart"/>
            <w:r w:rsidRPr="002A74A3">
              <w:rPr>
                <w:rFonts w:eastAsia="Batang"/>
                <w:iCs/>
                <w:szCs w:val="20"/>
                <w:lang w:val="en-GB" w:eastAsia="en-US"/>
              </w:rPr>
              <w:t>FeType</w:t>
            </w:r>
            <w:proofErr w:type="spellEnd"/>
            <w:r w:rsidRPr="002A74A3">
              <w:rPr>
                <w:rFonts w:eastAsia="Batang"/>
                <w:iCs/>
                <w:szCs w:val="20"/>
                <w:lang w:val="en-GB" w:eastAsia="en-US"/>
              </w:rPr>
              <w:t>-II PS design) for UCI omission rules</w:t>
            </w:r>
          </w:p>
          <w:p w:rsidR="009B70BD" w:rsidRPr="002A74A3" w:rsidRDefault="0051047F">
            <w:pPr>
              <w:widowControl w:val="0"/>
              <w:numPr>
                <w:ilvl w:val="0"/>
                <w:numId w:val="15"/>
              </w:numPr>
              <w:snapToGrid w:val="0"/>
              <w:spacing w:after="0" w:line="240" w:lineRule="exact"/>
              <w:rPr>
                <w:rFonts w:eastAsia="Batang"/>
                <w:iCs/>
                <w:szCs w:val="20"/>
                <w:lang w:val="en-GB" w:eastAsia="en-US"/>
              </w:rPr>
            </w:pPr>
            <w:r w:rsidRPr="002A74A3">
              <w:rPr>
                <w:rFonts w:eastAsia="Batang"/>
                <w:iCs/>
                <w:szCs w:val="20"/>
                <w:lang w:val="en-GB" w:eastAsia="en-US"/>
              </w:rPr>
              <w:t xml:space="preserve">On the supported parameter combinations, decide, by RAN1#116bis, whether further restriction on the </w:t>
            </w:r>
            <w:proofErr w:type="spellStart"/>
            <w:r w:rsidRPr="002A74A3">
              <w:rPr>
                <w:rFonts w:eastAsia="Batang"/>
                <w:iCs/>
                <w:szCs w:val="20"/>
                <w:lang w:val="en-GB" w:eastAsia="en-US"/>
              </w:rPr>
              <w:t>the</w:t>
            </w:r>
            <w:proofErr w:type="spellEnd"/>
            <w:r w:rsidRPr="002A74A3">
              <w:rPr>
                <w:rFonts w:eastAsia="Batang"/>
                <w:iCs/>
                <w:szCs w:val="20"/>
                <w:lang w:val="en-GB" w:eastAsia="en-US"/>
              </w:rPr>
              <w:t xml:space="preserve"> legacy Rel-16 </w:t>
            </w:r>
            <w:proofErr w:type="spellStart"/>
            <w:r w:rsidRPr="002A74A3">
              <w:rPr>
                <w:rFonts w:eastAsia="Batang"/>
                <w:iCs/>
                <w:szCs w:val="20"/>
                <w:lang w:val="en-GB" w:eastAsia="en-US"/>
              </w:rPr>
              <w:t>eType</w:t>
            </w:r>
            <w:proofErr w:type="spellEnd"/>
            <w:r w:rsidRPr="002A74A3">
              <w:rPr>
                <w:rFonts w:eastAsia="Batang"/>
                <w:iCs/>
                <w:szCs w:val="20"/>
                <w:lang w:val="en-GB" w:eastAsia="en-US"/>
              </w:rPr>
              <w:t xml:space="preserve">-II design (and for PS codebook, the Rel-17 </w:t>
            </w:r>
            <w:proofErr w:type="spellStart"/>
            <w:r w:rsidRPr="002A74A3">
              <w:rPr>
                <w:rFonts w:eastAsia="Batang"/>
                <w:iCs/>
                <w:szCs w:val="20"/>
                <w:lang w:val="en-GB" w:eastAsia="en-US"/>
              </w:rPr>
              <w:t>FeType</w:t>
            </w:r>
            <w:proofErr w:type="spellEnd"/>
            <w:r w:rsidRPr="002A74A3">
              <w:rPr>
                <w:rFonts w:eastAsia="Batang"/>
                <w:iCs/>
                <w:szCs w:val="20"/>
                <w:lang w:val="en-GB" w:eastAsia="en-US"/>
              </w:rPr>
              <w:t>-II PS design) to reduce/limit PMI overhead and/or UE complexity is necessary</w:t>
            </w:r>
          </w:p>
          <w:p w:rsidR="009B70BD" w:rsidRPr="002A74A3" w:rsidRDefault="0051047F">
            <w:pPr>
              <w:widowControl w:val="0"/>
              <w:numPr>
                <w:ilvl w:val="0"/>
                <w:numId w:val="15"/>
              </w:numPr>
              <w:snapToGrid w:val="0"/>
              <w:spacing w:after="0" w:line="240" w:lineRule="exact"/>
              <w:rPr>
                <w:rFonts w:eastAsia="Batang"/>
                <w:iCs/>
                <w:szCs w:val="20"/>
                <w:lang w:val="en-GB" w:eastAsia="en-US"/>
              </w:rPr>
            </w:pPr>
            <w:r w:rsidRPr="002A74A3">
              <w:rPr>
                <w:rFonts w:eastAsia="Batang"/>
                <w:iCs/>
                <w:szCs w:val="20"/>
                <w:lang w:val="en-GB" w:eastAsia="en-US"/>
              </w:rPr>
              <w:t xml:space="preserve">On the definition and detailed design of UCI parameters, fully reuse the legacy Rel-16 </w:t>
            </w:r>
            <w:proofErr w:type="spellStart"/>
            <w:r w:rsidRPr="002A74A3">
              <w:rPr>
                <w:rFonts w:eastAsia="Batang"/>
                <w:iCs/>
                <w:szCs w:val="20"/>
                <w:lang w:val="en-GB" w:eastAsia="en-US"/>
              </w:rPr>
              <w:t>eType</w:t>
            </w:r>
            <w:proofErr w:type="spellEnd"/>
            <w:r w:rsidRPr="002A74A3">
              <w:rPr>
                <w:rFonts w:eastAsia="Batang"/>
                <w:iCs/>
                <w:szCs w:val="20"/>
                <w:lang w:val="en-GB" w:eastAsia="en-US"/>
              </w:rPr>
              <w:t xml:space="preserve">-II design (and for PS codebook, the Rel-17 </w:t>
            </w:r>
            <w:proofErr w:type="spellStart"/>
            <w:r w:rsidRPr="002A74A3">
              <w:rPr>
                <w:rFonts w:eastAsia="Batang"/>
                <w:iCs/>
                <w:szCs w:val="20"/>
                <w:lang w:val="en-GB" w:eastAsia="en-US"/>
              </w:rPr>
              <w:t>FeType</w:t>
            </w:r>
            <w:proofErr w:type="spellEnd"/>
            <w:r w:rsidRPr="002A74A3">
              <w:rPr>
                <w:rFonts w:eastAsia="Batang"/>
                <w:iCs/>
                <w:szCs w:val="20"/>
                <w:lang w:val="en-GB" w:eastAsia="en-US"/>
              </w:rPr>
              <w:t xml:space="preserve">-II PS design), except for SD basis selection indication </w:t>
            </w:r>
          </w:p>
          <w:p w:rsidR="009B70BD" w:rsidRPr="002A74A3" w:rsidRDefault="0051047F">
            <w:pPr>
              <w:widowControl w:val="0"/>
              <w:numPr>
                <w:ilvl w:val="1"/>
                <w:numId w:val="15"/>
              </w:numPr>
              <w:snapToGrid w:val="0"/>
              <w:spacing w:after="0" w:line="240" w:lineRule="exact"/>
              <w:rPr>
                <w:rFonts w:eastAsia="Batang"/>
                <w:iCs/>
                <w:szCs w:val="20"/>
                <w:lang w:val="en-GB" w:eastAsia="en-US"/>
              </w:rPr>
            </w:pPr>
            <w:r w:rsidRPr="002A74A3">
              <w:rPr>
                <w:rFonts w:eastAsia="Batang"/>
                <w:iCs/>
                <w:szCs w:val="20"/>
                <w:lang w:val="en-GB" w:eastAsia="en-US"/>
              </w:rPr>
              <w:t xml:space="preserve">On SD basis selection indication, decide, by RAN1#116bis, whether refinement on the legacy Rel-16 </w:t>
            </w:r>
            <w:proofErr w:type="spellStart"/>
            <w:r w:rsidRPr="002A74A3">
              <w:rPr>
                <w:rFonts w:eastAsia="Batang"/>
                <w:iCs/>
                <w:szCs w:val="20"/>
                <w:lang w:val="en-GB" w:eastAsia="en-US"/>
              </w:rPr>
              <w:t>eType</w:t>
            </w:r>
            <w:proofErr w:type="spellEnd"/>
            <w:r w:rsidRPr="002A74A3">
              <w:rPr>
                <w:rFonts w:eastAsia="Batang"/>
                <w:iCs/>
                <w:szCs w:val="20"/>
                <w:lang w:val="en-GB" w:eastAsia="en-US"/>
              </w:rPr>
              <w:t xml:space="preserve">-II design (and for PS codebook, the Rel-17 </w:t>
            </w:r>
            <w:proofErr w:type="spellStart"/>
            <w:r w:rsidRPr="002A74A3">
              <w:rPr>
                <w:rFonts w:eastAsia="Batang"/>
                <w:iCs/>
                <w:szCs w:val="20"/>
                <w:lang w:val="en-GB" w:eastAsia="en-US"/>
              </w:rPr>
              <w:t>FeType</w:t>
            </w:r>
            <w:proofErr w:type="spellEnd"/>
            <w:r w:rsidRPr="002A74A3">
              <w:rPr>
                <w:rFonts w:eastAsia="Batang"/>
                <w:iCs/>
                <w:szCs w:val="20"/>
                <w:lang w:val="en-GB" w:eastAsia="en-US"/>
              </w:rPr>
              <w:t>-II PS design) is necessary to reduce UE memory requirements</w:t>
            </w:r>
          </w:p>
          <w:p w:rsidR="009B70BD" w:rsidRPr="002A74A3" w:rsidRDefault="0051047F">
            <w:pPr>
              <w:widowControl w:val="0"/>
              <w:numPr>
                <w:ilvl w:val="0"/>
                <w:numId w:val="15"/>
              </w:numPr>
              <w:snapToGrid w:val="0"/>
              <w:spacing w:after="0" w:line="240" w:lineRule="exact"/>
              <w:rPr>
                <w:rFonts w:eastAsia="Batang"/>
                <w:iCs/>
                <w:szCs w:val="20"/>
                <w:lang w:val="en-GB" w:eastAsia="en-US"/>
              </w:rPr>
            </w:pPr>
            <w:r w:rsidRPr="002A74A3">
              <w:rPr>
                <w:rFonts w:eastAsia="Batang"/>
                <w:iCs/>
                <w:szCs w:val="20"/>
                <w:lang w:val="en-GB" w:eastAsia="en-US"/>
              </w:rPr>
              <w:t xml:space="preserve">On CBSR, decide, by RAN1#116bis, whether refinement on the legacy Rel-16 </w:t>
            </w:r>
            <w:proofErr w:type="spellStart"/>
            <w:r w:rsidRPr="002A74A3">
              <w:rPr>
                <w:rFonts w:eastAsia="Batang"/>
                <w:iCs/>
                <w:szCs w:val="20"/>
                <w:lang w:val="en-GB" w:eastAsia="en-US"/>
              </w:rPr>
              <w:t>eType</w:t>
            </w:r>
            <w:proofErr w:type="spellEnd"/>
            <w:r w:rsidRPr="002A74A3">
              <w:rPr>
                <w:rFonts w:eastAsia="Batang"/>
                <w:iCs/>
                <w:szCs w:val="20"/>
                <w:lang w:val="en-GB" w:eastAsia="en-US"/>
              </w:rPr>
              <w:t xml:space="preserve">-II design (and for PS codebook, the Rel-17 </w:t>
            </w:r>
            <w:proofErr w:type="spellStart"/>
            <w:r w:rsidRPr="002A74A3">
              <w:rPr>
                <w:rFonts w:eastAsia="Batang"/>
                <w:iCs/>
                <w:szCs w:val="20"/>
                <w:lang w:val="en-GB" w:eastAsia="en-US"/>
              </w:rPr>
              <w:t>FeType</w:t>
            </w:r>
            <w:proofErr w:type="spellEnd"/>
            <w:r w:rsidRPr="002A74A3">
              <w:rPr>
                <w:rFonts w:eastAsia="Batang"/>
                <w:iCs/>
                <w:szCs w:val="20"/>
                <w:lang w:val="en-GB" w:eastAsia="en-US"/>
              </w:rPr>
              <w:t>-II PS design) is necessary to reduce RRC overhead (including moving (N</w:t>
            </w:r>
            <w:proofErr w:type="gramStart"/>
            <w:r w:rsidRPr="002A74A3">
              <w:rPr>
                <w:rFonts w:eastAsia="Batang"/>
                <w:iCs/>
                <w:szCs w:val="20"/>
                <w:lang w:val="en-GB" w:eastAsia="en-US"/>
              </w:rPr>
              <w:t>1,N</w:t>
            </w:r>
            <w:proofErr w:type="gramEnd"/>
            <w:r w:rsidRPr="002A74A3">
              <w:rPr>
                <w:rFonts w:eastAsia="Batang"/>
                <w:iCs/>
                <w:szCs w:val="20"/>
                <w:lang w:val="en-GB" w:eastAsia="en-US"/>
              </w:rPr>
              <w:t>2) configuration out from CBSR IE)</w:t>
            </w:r>
          </w:p>
          <w:p w:rsidR="009B70BD" w:rsidRDefault="0051047F">
            <w:pPr>
              <w:widowControl w:val="0"/>
              <w:numPr>
                <w:ilvl w:val="0"/>
                <w:numId w:val="15"/>
              </w:numPr>
              <w:snapToGrid w:val="0"/>
              <w:spacing w:after="0" w:line="240" w:lineRule="exact"/>
            </w:pPr>
            <w:r w:rsidRPr="002A74A3">
              <w:rPr>
                <w:rFonts w:eastAsia="Batang"/>
                <w:iCs/>
                <w:szCs w:val="20"/>
                <w:lang w:val="en-GB" w:eastAsia="en-US"/>
              </w:rPr>
              <w:t>Further study the rules on CPU occupation, resource counting, and Z2/Z2’ in conjunction with Rel-19 Type-I</w:t>
            </w:r>
          </w:p>
        </w:tc>
      </w:tr>
    </w:tbl>
    <w:p w:rsidR="009B70BD" w:rsidRDefault="0051047F">
      <w:pPr>
        <w:tabs>
          <w:tab w:val="left" w:pos="420"/>
        </w:tabs>
        <w:snapToGrid w:val="0"/>
        <w:spacing w:beforeLines="50" w:before="120" w:afterLines="50" w:after="120" w:line="300" w:lineRule="auto"/>
      </w:pPr>
      <w:r>
        <w:t xml:space="preserve">In current specification TS 38.214 in Clause 5.2.2.2.3, the L </w:t>
      </w:r>
      <w:r>
        <w:rPr>
          <w:rFonts w:eastAsia="Batang"/>
          <w:iCs/>
          <w:szCs w:val="20"/>
          <w:lang w:val="en-GB" w:eastAsia="en-US"/>
        </w:rPr>
        <w:t>SD basis selection indication</w:t>
      </w:r>
      <w:r>
        <w:rPr>
          <w:iCs/>
          <w:szCs w:val="20"/>
        </w:rPr>
        <w:t xml:space="preserve"> for </w:t>
      </w:r>
      <w:r>
        <w:rPr>
          <w:rFonts w:eastAsia="Batang"/>
          <w:iCs/>
          <w:szCs w:val="20"/>
          <w:lang w:val="en-GB" w:eastAsia="en-US"/>
        </w:rPr>
        <w:t xml:space="preserve">Rel-16 </w:t>
      </w:r>
      <w:proofErr w:type="spellStart"/>
      <w:r>
        <w:rPr>
          <w:rFonts w:eastAsia="Batang"/>
          <w:iCs/>
          <w:szCs w:val="20"/>
          <w:lang w:val="en-GB" w:eastAsia="en-US"/>
        </w:rPr>
        <w:t>eType</w:t>
      </w:r>
      <w:proofErr w:type="spellEnd"/>
      <w:r>
        <w:rPr>
          <w:rFonts w:eastAsia="Batang"/>
          <w:iCs/>
          <w:szCs w:val="20"/>
          <w:lang w:val="en-GB" w:eastAsia="en-US"/>
        </w:rPr>
        <w:t>-II design</w:t>
      </w:r>
      <w:r>
        <w:rPr>
          <w:iCs/>
          <w:szCs w:val="20"/>
        </w:rPr>
        <w:t xml:space="preserve"> is shown as follow</w:t>
      </w:r>
    </w:p>
    <w:tbl>
      <w:tblPr>
        <w:tblStyle w:val="af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70BD">
        <w:tc>
          <w:tcPr>
            <w:tcW w:w="9576" w:type="dxa"/>
          </w:tcPr>
          <w:p w:rsidR="009B70BD" w:rsidRDefault="0051047F">
            <w:pPr>
              <w:tabs>
                <w:tab w:val="left" w:pos="420"/>
              </w:tabs>
              <w:snapToGrid w:val="0"/>
              <w:spacing w:beforeLines="50" w:before="120" w:afterLines="50" w:after="120" w:line="300" w:lineRule="auto"/>
            </w:pPr>
            <w:r>
              <w:rPr>
                <w:rFonts w:hint="eastAsia"/>
              </w:rPr>
              <w:t>5.2.2.2.3</w:t>
            </w:r>
            <w:r>
              <w:rPr>
                <w:rFonts w:hint="eastAsia"/>
              </w:rPr>
              <w:tab/>
              <w:t>Type II Codebook</w:t>
            </w:r>
          </w:p>
          <w:p w:rsidR="009B70BD" w:rsidRDefault="0051047F">
            <w:pPr>
              <w:spacing w:after="180" w:line="240" w:lineRule="auto"/>
              <w:jc w:val="left"/>
              <w:rPr>
                <w:color w:val="000000"/>
                <w:szCs w:val="20"/>
                <w:lang w:val="en-GB" w:eastAsia="en-US"/>
              </w:rPr>
            </w:pPr>
            <w:r>
              <w:rPr>
                <w:color w:val="000000"/>
                <w:szCs w:val="20"/>
                <w:lang w:val="en-GB" w:eastAsia="en-US"/>
              </w:rPr>
              <w:t xml:space="preserve">The </w:t>
            </w:r>
            <w:r>
              <w:rPr>
                <w:rFonts w:hint="eastAsia"/>
                <w:i/>
                <w:iCs/>
                <w:color w:val="000000"/>
                <w:szCs w:val="20"/>
              </w:rPr>
              <w:t>L</w:t>
            </w:r>
            <w:r>
              <w:rPr>
                <w:color w:val="000000"/>
                <w:szCs w:val="20"/>
                <w:lang w:val="en-GB" w:eastAsia="en-US"/>
              </w:rPr>
              <w:t xml:space="preserve"> vectors combined by the codebook are identified by the indices </w:t>
            </w:r>
            <w:r>
              <w:rPr>
                <w:color w:val="000000"/>
                <w:position w:val="-12"/>
                <w:szCs w:val="20"/>
                <w:lang w:val="en-GB" w:eastAsia="en-US"/>
              </w:rPr>
              <w:object w:dxaOrig="288"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13" o:title=""/>
                </v:shape>
                <o:OLEObject Type="Embed" ProgID="Equation.DSMT4" ShapeID="_x0000_i1025" DrawAspect="Content" ObjectID="_1773819152" r:id="rId14"/>
              </w:object>
            </w:r>
            <w:r>
              <w:rPr>
                <w:color w:val="000000"/>
                <w:szCs w:val="20"/>
                <w:lang w:val="en-GB" w:eastAsia="en-US"/>
              </w:rPr>
              <w:t xml:space="preserve"> and </w:t>
            </w:r>
            <w:r>
              <w:rPr>
                <w:color w:val="000000"/>
                <w:position w:val="-12"/>
                <w:szCs w:val="20"/>
                <w:lang w:val="en-GB" w:eastAsia="en-US"/>
              </w:rPr>
              <w:object w:dxaOrig="288" w:dyaOrig="288">
                <v:shape id="_x0000_i1026" type="#_x0000_t75" style="width:14.3pt;height:14.3pt" o:ole="">
                  <v:imagedata r:id="rId15" o:title=""/>
                </v:shape>
                <o:OLEObject Type="Embed" ProgID="Equation.DSMT4" ShapeID="_x0000_i1026" DrawAspect="Content" ObjectID="_1773819153" r:id="rId16"/>
              </w:object>
            </w:r>
            <w:r>
              <w:rPr>
                <w:color w:val="000000"/>
                <w:szCs w:val="20"/>
                <w:lang w:val="en-GB" w:eastAsia="en-US"/>
              </w:rPr>
              <w:t>, where</w:t>
            </w:r>
          </w:p>
          <w:p w:rsidR="009B70BD" w:rsidRDefault="0051047F">
            <w:pPr>
              <w:keepLines/>
              <w:tabs>
                <w:tab w:val="center" w:pos="4536"/>
                <w:tab w:val="right" w:pos="9072"/>
              </w:tabs>
              <w:spacing w:after="180"/>
              <w:rPr>
                <w:color w:val="000000"/>
                <w:lang w:eastAsia="en-US"/>
              </w:rPr>
            </w:pPr>
            <w:r>
              <w:rPr>
                <w:color w:val="000000"/>
                <w:lang w:eastAsia="en-US"/>
              </w:rPr>
              <w:tab/>
            </w:r>
            <w:r>
              <w:rPr>
                <w:color w:val="000000"/>
                <w:position w:val="-46"/>
                <w:lang w:eastAsia="en-US"/>
              </w:rPr>
              <w:object w:dxaOrig="1728" w:dyaOrig="1002">
                <v:shape id="_x0000_i1027" type="#_x0000_t75" style="width:86.3pt;height:49.85pt" o:ole="">
                  <v:imagedata r:id="rId17" o:title=""/>
                </v:shape>
                <o:OLEObject Type="Embed" ProgID="Equation.DSMT4" ShapeID="_x0000_i1027" DrawAspect="Content" ObjectID="_1773819154" r:id="rId18"/>
              </w:object>
            </w:r>
          </w:p>
          <w:p w:rsidR="009B70BD" w:rsidRDefault="0051047F">
            <w:pPr>
              <w:keepLines/>
              <w:tabs>
                <w:tab w:val="center" w:pos="4536"/>
                <w:tab w:val="right" w:pos="9072"/>
              </w:tabs>
              <w:spacing w:after="180"/>
            </w:pPr>
            <w:r>
              <w:rPr>
                <w:lang w:eastAsia="en-US"/>
              </w:rPr>
              <w:tab/>
            </w:r>
            <w:r>
              <w:rPr>
                <w:position w:val="-18"/>
                <w:lang w:eastAsia="en-US"/>
              </w:rPr>
              <w:object w:dxaOrig="1420" w:dyaOrig="458">
                <v:shape id="_x0000_i1028" type="#_x0000_t75" style="width:71.1pt;height:23.1pt" o:ole="">
                  <v:imagedata r:id="rId19" o:title=""/>
                </v:shape>
                <o:OLEObject Type="Embed" ProgID="Equation.3" ShapeID="_x0000_i1028" DrawAspect="Content" ObjectID="_1773819155" r:id="rId20"/>
              </w:object>
            </w:r>
            <w:r>
              <w:rPr>
                <w:lang w:eastAsia="en-US"/>
              </w:rPr>
              <w:t>.</w:t>
            </w:r>
          </w:p>
        </w:tc>
      </w:tr>
    </w:tbl>
    <w:p w:rsidR="009B70BD" w:rsidRDefault="0051047F">
      <w:pPr>
        <w:tabs>
          <w:tab w:val="left" w:pos="420"/>
        </w:tabs>
        <w:snapToGrid w:val="0"/>
        <w:spacing w:beforeLines="50" w:before="120" w:afterLines="50" w:after="120" w:line="300" w:lineRule="auto"/>
      </w:pPr>
      <w:r>
        <w:rPr>
          <w:rFonts w:eastAsia="Batang"/>
          <w:iCs/>
          <w:szCs w:val="20"/>
          <w:lang w:val="en-GB" w:eastAsia="en-US"/>
        </w:rPr>
        <w:t>For the Rel-19 Type-II codebook refinement for up to 128 CSI-RS ports</w:t>
      </w:r>
      <w:r>
        <w:rPr>
          <w:iCs/>
          <w:szCs w:val="20"/>
        </w:rPr>
        <w:t xml:space="preserve">, the value of </w:t>
      </w:r>
      <w:r>
        <w:rPr>
          <w:i/>
          <w:szCs w:val="20"/>
        </w:rPr>
        <w:t>N</w:t>
      </w:r>
      <w:r>
        <w:rPr>
          <w:i/>
          <w:szCs w:val="20"/>
          <w:vertAlign w:val="subscript"/>
        </w:rPr>
        <w:t>1</w:t>
      </w:r>
      <w:r>
        <w:rPr>
          <w:i/>
          <w:szCs w:val="20"/>
        </w:rPr>
        <w:t>N</w:t>
      </w:r>
      <w:r>
        <w:rPr>
          <w:i/>
          <w:szCs w:val="20"/>
          <w:vertAlign w:val="subscript"/>
        </w:rPr>
        <w:t>2</w:t>
      </w:r>
      <w:r>
        <w:rPr>
          <w:iCs/>
          <w:szCs w:val="20"/>
        </w:rPr>
        <w:t xml:space="preserve"> is more than 16. In this way, </w:t>
      </w:r>
      <w:r>
        <w:t xml:space="preserve">the </w:t>
      </w:r>
      <w:r>
        <w:rPr>
          <w:lang w:val="en-GB"/>
        </w:rPr>
        <w:t>combinatorial value C(</w:t>
      </w:r>
      <w:proofErr w:type="spellStart"/>
      <w:proofErr w:type="gramStart"/>
      <w:r>
        <w:rPr>
          <w:lang w:val="en-GB"/>
        </w:rPr>
        <w:t>x,y</w:t>
      </w:r>
      <w:proofErr w:type="spellEnd"/>
      <w:proofErr w:type="gramEnd"/>
      <w:r>
        <w:rPr>
          <w:lang w:val="en-GB"/>
        </w:rPr>
        <w:t>)</w:t>
      </w:r>
      <w:r>
        <w:t xml:space="preserve"> </w:t>
      </w:r>
      <w:r>
        <w:rPr>
          <w:lang w:val="en-GB"/>
        </w:rPr>
        <w:t xml:space="preserve">with </w:t>
      </w:r>
      <m:oMath>
        <m:r>
          <w:rPr>
            <w:rFonts w:ascii="Cambria Math" w:hAnsi="Cambria Math"/>
            <w:lang w:val="en-GB"/>
          </w:rPr>
          <m:t>x=0,1,…,</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r>
          <w:rPr>
            <w:rFonts w:ascii="Cambria Math" w:hAnsi="Cambria Math"/>
            <w:lang w:val="en-GB"/>
          </w:rPr>
          <m:t>-1</m:t>
        </m:r>
      </m:oMath>
      <w:r>
        <w:rPr>
          <w:lang w:val="en-GB"/>
        </w:rPr>
        <w:t xml:space="preserve"> and </w:t>
      </w:r>
      <m:oMath>
        <m:r>
          <w:rPr>
            <w:rFonts w:ascii="Cambria Math" w:hAnsi="Cambria Math"/>
            <w:lang w:val="en-GB"/>
          </w:rPr>
          <m:t>y=1,…,L</m:t>
        </m:r>
      </m:oMath>
      <w:r>
        <w:t xml:space="preserve"> </w:t>
      </w:r>
      <w:r>
        <w:rPr>
          <w:lang w:val="en-GB"/>
        </w:rPr>
        <w:t>in Table 5.2.2.2.3-1 of TS 38.214</w:t>
      </w:r>
      <w:r>
        <w:t xml:space="preserve"> is out of range for </w:t>
      </w:r>
      <w:r>
        <w:rPr>
          <w:rFonts w:eastAsia="Batang"/>
          <w:iCs/>
          <w:szCs w:val="20"/>
          <w:lang w:val="en-GB" w:eastAsia="en-US"/>
        </w:rPr>
        <w:t>Rel-19 Type-II codebook refinement for up to 128 CSI-RS ports</w:t>
      </w:r>
      <w:r>
        <w:rPr>
          <w:iCs/>
          <w:szCs w:val="20"/>
        </w:rPr>
        <w:t xml:space="preserve">, based on the legacy </w:t>
      </w:r>
      <w:r>
        <w:rPr>
          <w:color w:val="000000"/>
        </w:rPr>
        <w:t>algorithm</w:t>
      </w:r>
      <w:r>
        <w:rPr>
          <w:lang w:val="en-GB"/>
        </w:rPr>
        <w:t xml:space="preserve"> of SD selection indication</w:t>
      </w:r>
      <w:r>
        <w:rPr>
          <w:iCs/>
          <w:szCs w:val="20"/>
        </w:rPr>
        <w:t xml:space="preserve">. In order to solve the problem with legacy range of </w:t>
      </w:r>
      <w:r>
        <w:rPr>
          <w:lang w:val="en-GB"/>
        </w:rPr>
        <w:t>combinatorial value C(</w:t>
      </w:r>
      <w:proofErr w:type="spellStart"/>
      <w:proofErr w:type="gramStart"/>
      <w:r>
        <w:rPr>
          <w:lang w:val="en-GB"/>
        </w:rPr>
        <w:t>x,y</w:t>
      </w:r>
      <w:proofErr w:type="spellEnd"/>
      <w:proofErr w:type="gramEnd"/>
      <w:r>
        <w:rPr>
          <w:lang w:val="en-GB"/>
        </w:rPr>
        <w:t>)</w:t>
      </w:r>
      <w:r>
        <w:t xml:space="preserve">, we propose the </w:t>
      </w:r>
      <w:r w:rsidR="00F32C6E">
        <w:t xml:space="preserve">following </w:t>
      </w:r>
      <w:r>
        <w:t xml:space="preserve">method for </w:t>
      </w:r>
      <w:r>
        <w:rPr>
          <w:lang w:val="en-GB"/>
        </w:rPr>
        <w:t>SD selection indication</w:t>
      </w:r>
      <w:r>
        <w:t>:</w:t>
      </w:r>
    </w:p>
    <w:p w:rsidR="009B70BD" w:rsidRDefault="0051047F">
      <w:pPr>
        <w:numPr>
          <w:ilvl w:val="0"/>
          <w:numId w:val="13"/>
        </w:numPr>
        <w:snapToGrid w:val="0"/>
        <w:spacing w:beforeLines="50" w:before="120" w:afterLines="50" w:after="120" w:line="300" w:lineRule="auto"/>
        <w:rPr>
          <w:rFonts w:hAnsi="Cambria Math"/>
        </w:rPr>
      </w:pPr>
      <w:r>
        <w:rPr>
          <w:rFonts w:hAnsi="Cambria Math" w:hint="eastAsia"/>
        </w:rPr>
        <w:t xml:space="preserve">Step1: </w:t>
      </w:r>
      <w:r>
        <w:rPr>
          <w:i/>
          <w:szCs w:val="20"/>
        </w:rPr>
        <w:t>N</w:t>
      </w:r>
      <w:r>
        <w:rPr>
          <w:i/>
          <w:szCs w:val="20"/>
          <w:vertAlign w:val="subscript"/>
        </w:rPr>
        <w:t>1</w:t>
      </w:r>
      <w:r>
        <w:rPr>
          <w:i/>
          <w:szCs w:val="20"/>
        </w:rPr>
        <w:t>N</w:t>
      </w:r>
      <w:r>
        <w:rPr>
          <w:i/>
          <w:szCs w:val="20"/>
          <w:vertAlign w:val="subscript"/>
        </w:rPr>
        <w:t>2</w:t>
      </w:r>
      <w:r>
        <w:rPr>
          <w:rFonts w:hAnsi="Cambria Math" w:hint="eastAsia"/>
        </w:rPr>
        <w:t xml:space="preserve"> orthogonal SD basis are selected from the N</w:t>
      </w:r>
      <w:r w:rsidRPr="002A74A3">
        <w:rPr>
          <w:rFonts w:hAnsi="Cambria Math"/>
          <w:vertAlign w:val="subscript"/>
        </w:rPr>
        <w:t>1</w:t>
      </w:r>
      <w:r>
        <w:rPr>
          <w:rFonts w:hAnsi="Cambria Math" w:hint="eastAsia"/>
        </w:rPr>
        <w:t>O</w:t>
      </w:r>
      <w:r w:rsidRPr="002A74A3">
        <w:rPr>
          <w:rFonts w:hAnsi="Cambria Math"/>
          <w:vertAlign w:val="subscript"/>
        </w:rPr>
        <w:t>1</w:t>
      </w:r>
      <w:r>
        <w:rPr>
          <w:rFonts w:hAnsi="Cambria Math" w:hint="eastAsia"/>
        </w:rPr>
        <w:t>N</w:t>
      </w:r>
      <w:r w:rsidRPr="002A74A3">
        <w:rPr>
          <w:rFonts w:hAnsi="Cambria Math"/>
          <w:vertAlign w:val="subscript"/>
        </w:rPr>
        <w:t>2</w:t>
      </w:r>
      <w:r>
        <w:rPr>
          <w:rFonts w:hAnsi="Cambria Math" w:hint="eastAsia"/>
        </w:rPr>
        <w:t>O</w:t>
      </w:r>
      <w:r w:rsidRPr="002A74A3">
        <w:rPr>
          <w:rFonts w:hAnsi="Cambria Math"/>
          <w:vertAlign w:val="subscript"/>
        </w:rPr>
        <w:t>2</w:t>
      </w:r>
      <w:r>
        <w:rPr>
          <w:rFonts w:hAnsi="Cambria Math" w:hint="eastAsia"/>
        </w:rPr>
        <w:t xml:space="preserve"> SD basis</w:t>
      </w:r>
      <w:r w:rsidR="00E56058">
        <w:rPr>
          <w:rFonts w:hAnsi="Cambria Math"/>
        </w:rPr>
        <w:t>;</w:t>
      </w:r>
    </w:p>
    <w:p w:rsidR="009B70BD" w:rsidRDefault="0051047F">
      <w:pPr>
        <w:numPr>
          <w:ilvl w:val="0"/>
          <w:numId w:val="13"/>
        </w:numPr>
        <w:snapToGrid w:val="0"/>
        <w:spacing w:beforeLines="50" w:before="120" w:afterLines="50" w:after="120" w:line="300" w:lineRule="auto"/>
        <w:rPr>
          <w:rFonts w:hAnsi="Cambria Math"/>
        </w:rPr>
      </w:pPr>
      <w:r>
        <w:rPr>
          <w:rFonts w:hAnsi="Cambria Math" w:hint="eastAsia"/>
        </w:rPr>
        <w:t xml:space="preserve">Step2: the </w:t>
      </w:r>
      <w:r>
        <w:rPr>
          <w:i/>
          <w:szCs w:val="20"/>
        </w:rPr>
        <w:t>N</w:t>
      </w:r>
      <w:r>
        <w:rPr>
          <w:i/>
          <w:szCs w:val="20"/>
          <w:vertAlign w:val="subscript"/>
        </w:rPr>
        <w:t>1</w:t>
      </w:r>
      <w:r>
        <w:rPr>
          <w:i/>
          <w:szCs w:val="20"/>
        </w:rPr>
        <w:t>N</w:t>
      </w:r>
      <w:r>
        <w:rPr>
          <w:i/>
          <w:szCs w:val="20"/>
          <w:vertAlign w:val="subscript"/>
        </w:rPr>
        <w:t>2</w:t>
      </w:r>
      <w:r>
        <w:rPr>
          <w:rFonts w:hAnsi="Cambria Math" w:hint="eastAsia"/>
        </w:rPr>
        <w:t xml:space="preserve"> SD basis are made up of G groups</w:t>
      </w:r>
      <w:r w:rsidR="00E56058">
        <w:rPr>
          <w:rFonts w:hAnsi="Cambria Math"/>
        </w:rPr>
        <w:t>;</w:t>
      </w:r>
    </w:p>
    <w:p w:rsidR="009B70BD" w:rsidRDefault="0051047F">
      <w:pPr>
        <w:numPr>
          <w:ilvl w:val="0"/>
          <w:numId w:val="13"/>
        </w:numPr>
        <w:snapToGrid w:val="0"/>
        <w:spacing w:beforeLines="50" w:before="120" w:afterLines="50" w:after="120" w:line="300" w:lineRule="auto"/>
        <w:rPr>
          <w:rFonts w:hAnsi="Cambria Math"/>
        </w:rPr>
      </w:pPr>
      <w:r>
        <w:rPr>
          <w:rFonts w:hAnsi="Cambria Math" w:hint="eastAsia"/>
        </w:rPr>
        <w:t>Step3: H groups are selected from the G groups</w:t>
      </w:r>
      <w:r w:rsidR="00E56058">
        <w:rPr>
          <w:rFonts w:hAnsi="Cambria Math"/>
        </w:rPr>
        <w:t>;</w:t>
      </w:r>
    </w:p>
    <w:p w:rsidR="009B70BD" w:rsidRDefault="0051047F">
      <w:pPr>
        <w:numPr>
          <w:ilvl w:val="0"/>
          <w:numId w:val="13"/>
        </w:numPr>
        <w:snapToGrid w:val="0"/>
        <w:spacing w:beforeLines="50" w:before="120" w:afterLines="50" w:after="120" w:line="300" w:lineRule="auto"/>
        <w:rPr>
          <w:rFonts w:hAnsi="Cambria Math"/>
        </w:rPr>
      </w:pPr>
      <w:r>
        <w:rPr>
          <w:rFonts w:hAnsi="Cambria Math" w:hint="eastAsia"/>
        </w:rPr>
        <w:t xml:space="preserve">Step4: </w:t>
      </w:r>
      <w:proofErr w:type="gramStart"/>
      <w:r>
        <w:rPr>
          <w:rFonts w:hAnsi="Cambria Math" w:hint="eastAsia"/>
        </w:rPr>
        <w:t>the</w:t>
      </w:r>
      <w:proofErr w:type="gramEnd"/>
      <w:r>
        <w:rPr>
          <w:rFonts w:hAnsi="Cambria Math" w:hint="eastAsia"/>
        </w:rPr>
        <w:t xml:space="preserve"> L SD basis are selected from the H groups</w:t>
      </w:r>
      <w:r w:rsidR="00E56058">
        <w:rPr>
          <w:rFonts w:hAnsi="Cambria Math"/>
        </w:rPr>
        <w:t>.</w:t>
      </w:r>
    </w:p>
    <w:p w:rsidR="009B70BD" w:rsidRDefault="0051047F" w:rsidP="00BC54C3">
      <w:pPr>
        <w:tabs>
          <w:tab w:val="left" w:pos="420"/>
        </w:tabs>
        <w:snapToGrid w:val="0"/>
        <w:spacing w:beforeLines="50" w:before="120" w:afterLines="50" w:after="120" w:line="300" w:lineRule="auto"/>
      </w:pPr>
      <w:r>
        <w:lastRenderedPageBreak/>
        <w:t xml:space="preserve">When the value of G groups and the total number of SD basis in the H groups are less than 16, the </w:t>
      </w:r>
      <w:r>
        <w:rPr>
          <w:lang w:val="en-GB"/>
        </w:rPr>
        <w:t>combinatorial value C(</w:t>
      </w:r>
      <w:proofErr w:type="spellStart"/>
      <w:proofErr w:type="gramStart"/>
      <w:r>
        <w:rPr>
          <w:lang w:val="en-GB"/>
        </w:rPr>
        <w:t>x,y</w:t>
      </w:r>
      <w:proofErr w:type="spellEnd"/>
      <w:proofErr w:type="gramEnd"/>
      <w:r>
        <w:rPr>
          <w:lang w:val="en-GB"/>
        </w:rPr>
        <w:t>)</w:t>
      </w:r>
      <w:r>
        <w:t xml:space="preserve"> </w:t>
      </w:r>
      <w:r>
        <w:rPr>
          <w:lang w:val="en-GB"/>
        </w:rPr>
        <w:t xml:space="preserve">with </w:t>
      </w:r>
      <m:oMath>
        <m:r>
          <w:rPr>
            <w:rFonts w:ascii="Cambria Math" w:hAnsi="Cambria Math"/>
            <w:lang w:val="en-GB"/>
          </w:rPr>
          <m:t>x=0,1,…,</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r>
          <w:rPr>
            <w:rFonts w:ascii="Cambria Math" w:hAnsi="Cambria Math"/>
            <w:lang w:val="en-GB"/>
          </w:rPr>
          <m:t>-1</m:t>
        </m:r>
      </m:oMath>
      <w:r>
        <w:rPr>
          <w:lang w:val="en-GB"/>
        </w:rPr>
        <w:t xml:space="preserve"> and </w:t>
      </w:r>
      <m:oMath>
        <m:r>
          <w:rPr>
            <w:rFonts w:ascii="Cambria Math" w:hAnsi="Cambria Math"/>
            <w:lang w:val="en-GB"/>
          </w:rPr>
          <m:t>y=1,…,L</m:t>
        </m:r>
      </m:oMath>
      <w:r>
        <w:t xml:space="preserve"> </w:t>
      </w:r>
      <w:r>
        <w:rPr>
          <w:lang w:val="en-GB"/>
        </w:rPr>
        <w:t>in Table 5.2.2.2.3-1 of TS 38.214</w:t>
      </w:r>
      <w:r>
        <w:t xml:space="preserve"> can be reused for </w:t>
      </w:r>
      <w:r>
        <w:rPr>
          <w:rFonts w:eastAsia="Batang"/>
          <w:iCs/>
          <w:szCs w:val="20"/>
          <w:lang w:val="en-GB" w:eastAsia="en-US"/>
        </w:rPr>
        <w:t>Rel-19 Type-II codebook refinement for up to 128 CSI-RS ports</w:t>
      </w:r>
      <w:r>
        <w:rPr>
          <w:iCs/>
          <w:szCs w:val="20"/>
        </w:rPr>
        <w:t>.</w:t>
      </w:r>
      <w:r>
        <w:t xml:space="preserve"> For </w:t>
      </w:r>
      <w:r w:rsidR="00E56058">
        <w:t>example,</w:t>
      </w:r>
      <w:r>
        <w:rPr>
          <w:rFonts w:hint="eastAsia"/>
        </w:rPr>
        <w:t xml:space="preserve"> in Figure </w:t>
      </w:r>
      <w:r w:rsidR="003D5DB6">
        <w:t>6</w:t>
      </w:r>
      <w:r>
        <w:t xml:space="preserve">, </w:t>
      </w:r>
      <w:r>
        <w:rPr>
          <w:i/>
          <w:iCs/>
        </w:rPr>
        <w:t>N</w:t>
      </w:r>
      <w:r>
        <w:rPr>
          <w:i/>
          <w:iCs/>
          <w:vertAlign w:val="subscript"/>
        </w:rPr>
        <w:t>1</w:t>
      </w:r>
      <w:r>
        <w:rPr>
          <w:i/>
          <w:iCs/>
        </w:rPr>
        <w:t>=8, N</w:t>
      </w:r>
      <w:r>
        <w:rPr>
          <w:i/>
          <w:iCs/>
          <w:vertAlign w:val="subscript"/>
        </w:rPr>
        <w:t>2</w:t>
      </w:r>
      <w:r>
        <w:rPr>
          <w:i/>
          <w:iCs/>
        </w:rPr>
        <w:t>=8, L=4</w:t>
      </w:r>
      <w:r>
        <w:t xml:space="preserve">, the 64 SD basis are made up of 16 groups in Step 2 and each group is made up of 4 SD </w:t>
      </w:r>
      <w:r w:rsidR="00E56058">
        <w:t>bases</w:t>
      </w:r>
      <w:r>
        <w:t>. Then</w:t>
      </w:r>
      <w:r>
        <w:rPr>
          <w:color w:val="000000"/>
        </w:rPr>
        <w:t xml:space="preserve"> 4 groups are selected </w:t>
      </w:r>
      <w:r w:rsidRPr="00BC54C3">
        <w:t>from</w:t>
      </w:r>
      <w:r>
        <w:rPr>
          <w:color w:val="000000"/>
        </w:rPr>
        <w:t xml:space="preserve"> the 16 groups </w:t>
      </w:r>
      <w:r>
        <w:t>in Step 3. Finally, the 4 SD basis</w:t>
      </w:r>
      <w:r>
        <w:rPr>
          <w:rFonts w:hint="eastAsia"/>
        </w:rPr>
        <w:t xml:space="preserve"> </w:t>
      </w:r>
      <w:r>
        <w:t>(a, b, c, d)</w:t>
      </w:r>
      <w:r>
        <w:rPr>
          <w:rFonts w:hint="eastAsia"/>
        </w:rPr>
        <w:t xml:space="preserve"> marked in yellow,</w:t>
      </w:r>
      <w:r>
        <w:t xml:space="preserve"> are selected from the 4 groups in Step 4.</w:t>
      </w:r>
      <w:r>
        <w:rPr>
          <w:rFonts w:hAnsi="Cambria Math" w:hint="eastAsia"/>
        </w:rPr>
        <w:t xml:space="preserve"> </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3688"/>
        <w:gridCol w:w="1976"/>
      </w:tblGrid>
      <w:tr w:rsidR="009B70BD">
        <w:tc>
          <w:tcPr>
            <w:tcW w:w="3192" w:type="dxa"/>
            <w:vAlign w:val="center"/>
          </w:tcPr>
          <w:p w:rsidR="009B70BD" w:rsidRDefault="0051047F">
            <w:pPr>
              <w:tabs>
                <w:tab w:val="left" w:pos="420"/>
              </w:tabs>
              <w:snapToGrid w:val="0"/>
              <w:spacing w:beforeLines="50" w:before="120" w:afterLines="50" w:after="120" w:line="300" w:lineRule="auto"/>
              <w:rPr>
                <w:rFonts w:hAnsi="Cambria Math"/>
              </w:rPr>
            </w:pPr>
            <w:r>
              <w:rPr>
                <w:noProof/>
              </w:rPr>
              <w:drawing>
                <wp:inline distT="0" distB="0" distL="114300" distR="114300">
                  <wp:extent cx="2198370" cy="1607820"/>
                  <wp:effectExtent l="0" t="0" r="11430" b="1143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21"/>
                          <a:stretch>
                            <a:fillRect/>
                          </a:stretch>
                        </pic:blipFill>
                        <pic:spPr>
                          <a:xfrm>
                            <a:off x="0" y="0"/>
                            <a:ext cx="2198370" cy="1607820"/>
                          </a:xfrm>
                          <a:prstGeom prst="rect">
                            <a:avLst/>
                          </a:prstGeom>
                          <a:noFill/>
                          <a:ln>
                            <a:noFill/>
                          </a:ln>
                        </pic:spPr>
                      </pic:pic>
                    </a:graphicData>
                  </a:graphic>
                </wp:inline>
              </w:drawing>
            </w:r>
          </w:p>
        </w:tc>
        <w:tc>
          <w:tcPr>
            <w:tcW w:w="4054" w:type="dxa"/>
            <w:vAlign w:val="center"/>
          </w:tcPr>
          <w:p w:rsidR="009B70BD" w:rsidRDefault="0051047F">
            <w:pPr>
              <w:tabs>
                <w:tab w:val="left" w:pos="420"/>
              </w:tabs>
              <w:snapToGrid w:val="0"/>
              <w:spacing w:beforeLines="50" w:before="120" w:afterLines="50" w:after="120" w:line="300" w:lineRule="auto"/>
              <w:jc w:val="center"/>
              <w:rPr>
                <w:rFonts w:hAnsi="Cambria Math"/>
              </w:rPr>
            </w:pPr>
            <w:r>
              <w:rPr>
                <w:noProof/>
              </w:rPr>
              <w:drawing>
                <wp:inline distT="0" distB="0" distL="114300" distR="114300">
                  <wp:extent cx="1585595" cy="1229995"/>
                  <wp:effectExtent l="0" t="0" r="14605" b="8255"/>
                  <wp:docPr id="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pic:cNvPicPr>
                            <a:picLocks noChangeAspect="1"/>
                          </pic:cNvPicPr>
                        </pic:nvPicPr>
                        <pic:blipFill>
                          <a:blip r:embed="rId22"/>
                          <a:stretch>
                            <a:fillRect/>
                          </a:stretch>
                        </pic:blipFill>
                        <pic:spPr>
                          <a:xfrm>
                            <a:off x="0" y="0"/>
                            <a:ext cx="1585595" cy="1229995"/>
                          </a:xfrm>
                          <a:prstGeom prst="rect">
                            <a:avLst/>
                          </a:prstGeom>
                          <a:noFill/>
                          <a:ln>
                            <a:noFill/>
                          </a:ln>
                        </pic:spPr>
                      </pic:pic>
                    </a:graphicData>
                  </a:graphic>
                </wp:inline>
              </w:drawing>
            </w:r>
          </w:p>
        </w:tc>
        <w:tc>
          <w:tcPr>
            <w:tcW w:w="2330" w:type="dxa"/>
            <w:vAlign w:val="center"/>
          </w:tcPr>
          <w:p w:rsidR="009B70BD" w:rsidRDefault="0051047F">
            <w:pPr>
              <w:tabs>
                <w:tab w:val="left" w:pos="420"/>
              </w:tabs>
              <w:snapToGrid w:val="0"/>
              <w:spacing w:beforeLines="50" w:before="120" w:afterLines="50" w:after="120" w:line="300" w:lineRule="auto"/>
              <w:jc w:val="center"/>
              <w:rPr>
                <w:rFonts w:hAnsi="Cambria Math"/>
              </w:rPr>
            </w:pPr>
            <w:r>
              <w:rPr>
                <w:noProof/>
              </w:rPr>
              <w:drawing>
                <wp:inline distT="0" distB="0" distL="114300" distR="114300">
                  <wp:extent cx="514985" cy="1291590"/>
                  <wp:effectExtent l="0" t="0" r="18415" b="3810"/>
                  <wp:docPr id="2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3"/>
                          <pic:cNvPicPr>
                            <a:picLocks noChangeAspect="1"/>
                          </pic:cNvPicPr>
                        </pic:nvPicPr>
                        <pic:blipFill>
                          <a:blip r:embed="rId23"/>
                          <a:stretch>
                            <a:fillRect/>
                          </a:stretch>
                        </pic:blipFill>
                        <pic:spPr>
                          <a:xfrm>
                            <a:off x="0" y="0"/>
                            <a:ext cx="514985" cy="1291590"/>
                          </a:xfrm>
                          <a:prstGeom prst="rect">
                            <a:avLst/>
                          </a:prstGeom>
                          <a:noFill/>
                          <a:ln>
                            <a:noFill/>
                          </a:ln>
                        </pic:spPr>
                      </pic:pic>
                    </a:graphicData>
                  </a:graphic>
                </wp:inline>
              </w:drawing>
            </w:r>
          </w:p>
        </w:tc>
      </w:tr>
      <w:tr w:rsidR="009B70BD">
        <w:tc>
          <w:tcPr>
            <w:tcW w:w="3192" w:type="dxa"/>
            <w:vAlign w:val="center"/>
          </w:tcPr>
          <w:p w:rsidR="009B70BD" w:rsidRDefault="0051047F">
            <w:pPr>
              <w:tabs>
                <w:tab w:val="left" w:pos="420"/>
              </w:tabs>
              <w:snapToGrid w:val="0"/>
              <w:spacing w:beforeLines="50" w:before="120" w:afterLines="50" w:after="120" w:line="300" w:lineRule="auto"/>
              <w:jc w:val="center"/>
              <w:rPr>
                <w:rFonts w:hAnsi="Cambria Math"/>
              </w:rPr>
            </w:pPr>
            <w:r>
              <w:rPr>
                <w:rFonts w:hAnsi="Cambria Math" w:hint="eastAsia"/>
              </w:rPr>
              <w:t>Step 2</w:t>
            </w:r>
          </w:p>
        </w:tc>
        <w:tc>
          <w:tcPr>
            <w:tcW w:w="4054" w:type="dxa"/>
            <w:vAlign w:val="center"/>
          </w:tcPr>
          <w:p w:rsidR="009B70BD" w:rsidRDefault="0051047F">
            <w:pPr>
              <w:tabs>
                <w:tab w:val="left" w:pos="420"/>
              </w:tabs>
              <w:snapToGrid w:val="0"/>
              <w:spacing w:beforeLines="50" w:before="120" w:afterLines="50" w:after="120" w:line="300" w:lineRule="auto"/>
              <w:jc w:val="center"/>
              <w:rPr>
                <w:rFonts w:hAnsi="Cambria Math"/>
              </w:rPr>
            </w:pPr>
            <w:r>
              <w:rPr>
                <w:rFonts w:hAnsi="Cambria Math" w:hint="eastAsia"/>
              </w:rPr>
              <w:t>Step 3</w:t>
            </w:r>
          </w:p>
        </w:tc>
        <w:tc>
          <w:tcPr>
            <w:tcW w:w="2330" w:type="dxa"/>
            <w:vAlign w:val="center"/>
          </w:tcPr>
          <w:p w:rsidR="009B70BD" w:rsidRDefault="0051047F">
            <w:pPr>
              <w:tabs>
                <w:tab w:val="left" w:pos="420"/>
              </w:tabs>
              <w:snapToGrid w:val="0"/>
              <w:spacing w:beforeLines="50" w:before="120" w:afterLines="50" w:after="120" w:line="300" w:lineRule="auto"/>
              <w:jc w:val="center"/>
              <w:rPr>
                <w:rFonts w:hAnsi="Cambria Math"/>
              </w:rPr>
            </w:pPr>
            <w:r>
              <w:rPr>
                <w:rFonts w:hAnsi="Cambria Math" w:hint="eastAsia"/>
              </w:rPr>
              <w:t>Step 4</w:t>
            </w:r>
          </w:p>
        </w:tc>
      </w:tr>
    </w:tbl>
    <w:p w:rsidR="009B70BD" w:rsidRDefault="0051047F">
      <w:pPr>
        <w:tabs>
          <w:tab w:val="left" w:pos="420"/>
        </w:tabs>
        <w:snapToGrid w:val="0"/>
        <w:spacing w:beforeLines="50" w:before="120" w:afterLines="50" w:after="120" w:line="300" w:lineRule="auto"/>
        <w:jc w:val="center"/>
        <w:rPr>
          <w:rFonts w:hAnsi="Cambria Math"/>
        </w:rPr>
      </w:pPr>
      <w:r w:rsidRPr="002A74A3">
        <w:rPr>
          <w:rFonts w:hAnsi="Cambria Math"/>
          <w:b/>
        </w:rPr>
        <w:t xml:space="preserve">Figure </w:t>
      </w:r>
      <w:r w:rsidR="00AC2010" w:rsidRPr="002A74A3">
        <w:rPr>
          <w:rFonts w:hAnsi="Cambria Math"/>
          <w:b/>
        </w:rPr>
        <w:t>6</w:t>
      </w:r>
      <w:r w:rsidRPr="002A74A3">
        <w:rPr>
          <w:rFonts w:hAnsi="Cambria Math"/>
          <w:b/>
        </w:rPr>
        <w:t xml:space="preserve"> </w:t>
      </w:r>
      <w:r>
        <w:rPr>
          <w:rFonts w:hAnsi="Cambria Math" w:hint="eastAsia"/>
        </w:rPr>
        <w:t>T</w:t>
      </w:r>
      <w:r>
        <w:rPr>
          <w:rFonts w:hint="eastAsia"/>
        </w:rPr>
        <w:t xml:space="preserve">he method for </w:t>
      </w:r>
      <w:r>
        <w:rPr>
          <w:lang w:val="en-GB"/>
        </w:rPr>
        <w:t>SD selection indication</w:t>
      </w:r>
      <w:r>
        <w:rPr>
          <w:rFonts w:hint="eastAsia"/>
        </w:rPr>
        <w:t xml:space="preserve"> f</w:t>
      </w:r>
      <w:r>
        <w:rPr>
          <w:rFonts w:ascii="Times" w:eastAsia="Batang" w:hAnsi="Times"/>
          <w:iCs/>
          <w:szCs w:val="20"/>
          <w:lang w:val="en-GB" w:eastAsia="en-US"/>
        </w:rPr>
        <w:t>or the Rel-19 Type-II codebook refinement</w:t>
      </w:r>
    </w:p>
    <w:p w:rsidR="008417A9" w:rsidRDefault="0051047F">
      <w:pPr>
        <w:tabs>
          <w:tab w:val="left" w:pos="420"/>
        </w:tabs>
        <w:snapToGrid w:val="0"/>
        <w:spacing w:beforeLines="50" w:before="120" w:afterLines="50" w:after="120" w:line="300" w:lineRule="auto"/>
      </w:pPr>
      <w:r>
        <w:t xml:space="preserve">Therefore, the </w:t>
      </w:r>
      <w:r>
        <w:rPr>
          <w:lang w:val="en-GB"/>
        </w:rPr>
        <w:t>combinatorial value C(</w:t>
      </w:r>
      <w:proofErr w:type="spellStart"/>
      <w:proofErr w:type="gramStart"/>
      <w:r>
        <w:rPr>
          <w:lang w:val="en-GB"/>
        </w:rPr>
        <w:t>x,y</w:t>
      </w:r>
      <w:proofErr w:type="spellEnd"/>
      <w:proofErr w:type="gramEnd"/>
      <w:r>
        <w:rPr>
          <w:lang w:val="en-GB"/>
        </w:rPr>
        <w:t>)</w:t>
      </w:r>
      <w:r>
        <w:t xml:space="preserve"> in the current specification can be reused for </w:t>
      </w:r>
      <w:r>
        <w:rPr>
          <w:rFonts w:eastAsia="Batang"/>
          <w:iCs/>
          <w:szCs w:val="20"/>
          <w:lang w:val="en-GB" w:eastAsia="en-US"/>
        </w:rPr>
        <w:t>Rel-19 Type-II codebook</w:t>
      </w:r>
      <w:r>
        <w:rPr>
          <w:iCs/>
          <w:szCs w:val="20"/>
        </w:rPr>
        <w:t>, by split</w:t>
      </w:r>
      <w:r w:rsidR="00E56058">
        <w:rPr>
          <w:iCs/>
          <w:szCs w:val="20"/>
        </w:rPr>
        <w:t>ting</w:t>
      </w:r>
      <w:r>
        <w:rPr>
          <w:iCs/>
          <w:szCs w:val="20"/>
        </w:rPr>
        <w:t xml:space="preserve"> the </w:t>
      </w:r>
      <w:r>
        <w:t>N</w:t>
      </w:r>
      <w:r w:rsidR="00E56058">
        <w:rPr>
          <w:rFonts w:hint="eastAsia"/>
          <w:vertAlign w:val="subscript"/>
        </w:rPr>
        <w:t>1</w:t>
      </w:r>
      <w:r>
        <w:t>N</w:t>
      </w:r>
      <w:r w:rsidR="00E56058">
        <w:rPr>
          <w:vertAlign w:val="subscript"/>
        </w:rPr>
        <w:t>2</w:t>
      </w:r>
      <w:r>
        <w:t xml:space="preserve"> orthogonal SD </w:t>
      </w:r>
      <w:r w:rsidR="00E56058">
        <w:t xml:space="preserve">bases </w:t>
      </w:r>
      <w:r>
        <w:t>into appropriate groups.</w:t>
      </w:r>
    </w:p>
    <w:p w:rsidR="009B70BD" w:rsidRDefault="0051047F">
      <w:pPr>
        <w:tabs>
          <w:tab w:val="left" w:pos="420"/>
        </w:tabs>
        <w:snapToGrid w:val="0"/>
        <w:spacing w:beforeLines="50" w:before="120" w:afterLines="50" w:after="120" w:line="300" w:lineRule="auto"/>
        <w:rPr>
          <w:rFonts w:eastAsia="等线"/>
          <w:szCs w:val="20"/>
        </w:rPr>
      </w:pPr>
      <w:r>
        <w:t xml:space="preserve">Regarding the </w:t>
      </w:r>
      <w:r>
        <w:rPr>
          <w:rFonts w:eastAsia="Batang"/>
          <w:iCs/>
          <w:szCs w:val="20"/>
          <w:lang w:val="en-GB" w:eastAsia="en-US"/>
        </w:rPr>
        <w:t>parameter combinations</w:t>
      </w:r>
      <w:r>
        <w:rPr>
          <w:iCs/>
          <w:szCs w:val="20"/>
        </w:rPr>
        <w:t xml:space="preserve">, </w:t>
      </w:r>
      <w:r w:rsidR="002623D7">
        <w:rPr>
          <w:iCs/>
          <w:szCs w:val="20"/>
        </w:rPr>
        <w:t>down selection of legacy</w:t>
      </w:r>
      <w:r>
        <w:rPr>
          <w:rFonts w:eastAsia="等线"/>
          <w:szCs w:val="20"/>
        </w:rPr>
        <w:t xml:space="preserve"> PCs </w:t>
      </w:r>
      <w:r w:rsidR="002623D7">
        <w:rPr>
          <w:rFonts w:eastAsia="等线"/>
          <w:szCs w:val="20"/>
        </w:rPr>
        <w:t xml:space="preserve">can be considered to </w:t>
      </w:r>
      <w:r>
        <w:rPr>
          <w:rFonts w:eastAsia="等线"/>
          <w:szCs w:val="20"/>
        </w:rPr>
        <w:t xml:space="preserve">balance the performance and overhead </w:t>
      </w:r>
      <w:r>
        <w:rPr>
          <w:rFonts w:eastAsia="Batang"/>
          <w:iCs/>
          <w:szCs w:val="20"/>
          <w:lang w:val="en-GB" w:eastAsia="en-US"/>
        </w:rPr>
        <w:t>or UE complexity</w:t>
      </w:r>
      <w:r>
        <w:rPr>
          <w:rFonts w:eastAsia="等线"/>
          <w:szCs w:val="20"/>
        </w:rPr>
        <w:t>.</w:t>
      </w:r>
    </w:p>
    <w:p w:rsidR="009B70BD" w:rsidRDefault="0051047F">
      <w:pPr>
        <w:tabs>
          <w:tab w:val="left" w:pos="420"/>
        </w:tabs>
        <w:snapToGrid w:val="0"/>
        <w:spacing w:beforeLines="50" w:before="120" w:afterLines="50" w:after="120" w:line="300" w:lineRule="auto"/>
        <w:rPr>
          <w:bCs/>
          <w:i/>
          <w:iCs/>
        </w:rPr>
      </w:pPr>
      <w:r>
        <w:rPr>
          <w:b/>
          <w:i/>
          <w:iCs/>
          <w:kern w:val="2"/>
          <w:szCs w:val="20"/>
        </w:rPr>
        <w:t xml:space="preserve">Proposal </w:t>
      </w:r>
      <w:r w:rsidR="00256A6C">
        <w:rPr>
          <w:b/>
          <w:i/>
          <w:iCs/>
          <w:kern w:val="2"/>
          <w:szCs w:val="20"/>
        </w:rPr>
        <w:t>11</w:t>
      </w:r>
      <w:r>
        <w:rPr>
          <w:b/>
          <w:i/>
          <w:iCs/>
          <w:kern w:val="2"/>
          <w:szCs w:val="20"/>
        </w:rPr>
        <w:t>:</w:t>
      </w:r>
      <w:r>
        <w:rPr>
          <w:bCs/>
          <w:i/>
          <w:iCs/>
          <w:kern w:val="2"/>
          <w:szCs w:val="20"/>
        </w:rPr>
        <w:t xml:space="preserve"> </w:t>
      </w:r>
      <w:r>
        <w:rPr>
          <w:i/>
          <w:iCs/>
        </w:rPr>
        <w:t>Regarding</w:t>
      </w:r>
      <w:r>
        <w:rPr>
          <w:rFonts w:eastAsia="Batang"/>
          <w:i/>
          <w:iCs/>
          <w:szCs w:val="20"/>
          <w:lang w:val="en-GB" w:eastAsia="en-US"/>
        </w:rPr>
        <w:t xml:space="preserve"> the Rel-19 Type-II codebook refinement for up to 128 CSI-RS ports</w:t>
      </w:r>
      <w:r>
        <w:rPr>
          <w:bCs/>
          <w:i/>
          <w:iCs/>
        </w:rPr>
        <w:t>, support:</w:t>
      </w:r>
    </w:p>
    <w:p w:rsidR="009B70BD" w:rsidRDefault="0051047F">
      <w:pPr>
        <w:numPr>
          <w:ilvl w:val="0"/>
          <w:numId w:val="13"/>
        </w:numPr>
        <w:snapToGrid w:val="0"/>
        <w:spacing w:beforeLines="50" w:before="120" w:afterLines="50" w:after="120" w:line="300" w:lineRule="auto"/>
        <w:rPr>
          <w:i/>
          <w:iCs/>
          <w:lang w:val="en-GB" w:eastAsia="en-US"/>
        </w:rPr>
      </w:pPr>
      <w:r>
        <w:rPr>
          <w:i/>
          <w:iCs/>
          <w:szCs w:val="20"/>
        </w:rPr>
        <w:t>Split</w:t>
      </w:r>
      <w:r w:rsidR="00E56058">
        <w:rPr>
          <w:i/>
          <w:iCs/>
          <w:szCs w:val="20"/>
        </w:rPr>
        <w:t>ting</w:t>
      </w:r>
      <w:r>
        <w:rPr>
          <w:i/>
          <w:iCs/>
          <w:szCs w:val="20"/>
        </w:rPr>
        <w:t xml:space="preserve"> the </w:t>
      </w:r>
      <w:r>
        <w:rPr>
          <w:i/>
          <w:iCs/>
        </w:rPr>
        <w:t xml:space="preserve">N1N2 orthogonal SD basis into a number of groups for </w:t>
      </w:r>
      <w:r>
        <w:rPr>
          <w:i/>
          <w:iCs/>
          <w:lang w:val="en-GB"/>
        </w:rPr>
        <w:t>SD selection indication</w:t>
      </w:r>
      <w:r w:rsidR="00E56058">
        <w:rPr>
          <w:i/>
          <w:iCs/>
          <w:lang w:val="en-GB"/>
        </w:rPr>
        <w:t>;</w:t>
      </w:r>
    </w:p>
    <w:p w:rsidR="009B70BD" w:rsidRDefault="00E56058">
      <w:pPr>
        <w:numPr>
          <w:ilvl w:val="0"/>
          <w:numId w:val="13"/>
        </w:numPr>
        <w:snapToGrid w:val="0"/>
        <w:spacing w:beforeLines="50" w:before="120" w:afterLines="50" w:after="120" w:line="300" w:lineRule="auto"/>
        <w:rPr>
          <w:rFonts w:eastAsia="等线"/>
          <w:szCs w:val="20"/>
        </w:rPr>
      </w:pPr>
      <w:r>
        <w:rPr>
          <w:rFonts w:eastAsia="等线"/>
          <w:i/>
          <w:iCs/>
          <w:szCs w:val="20"/>
        </w:rPr>
        <w:t>Down selection of legacy codebook parameter</w:t>
      </w:r>
      <w:r w:rsidR="0051047F">
        <w:rPr>
          <w:rFonts w:eastAsia="等线"/>
          <w:i/>
          <w:iCs/>
          <w:szCs w:val="20"/>
          <w:lang w:val="en-GB"/>
        </w:rPr>
        <w:t xml:space="preserve"> combinations</w:t>
      </w:r>
      <w:r w:rsidR="0051047F">
        <w:rPr>
          <w:rFonts w:eastAsia="等线"/>
          <w:i/>
          <w:iCs/>
          <w:szCs w:val="20"/>
        </w:rPr>
        <w:t xml:space="preserve"> to balance the performance and overhead </w:t>
      </w:r>
      <w:r w:rsidR="0051047F">
        <w:rPr>
          <w:rFonts w:eastAsia="Batang"/>
          <w:i/>
          <w:iCs/>
          <w:szCs w:val="20"/>
          <w:lang w:val="en-GB" w:eastAsia="en-US"/>
        </w:rPr>
        <w:t>or UE complexity</w:t>
      </w:r>
      <w:r>
        <w:rPr>
          <w:rFonts w:eastAsia="Batang"/>
          <w:i/>
          <w:iCs/>
          <w:szCs w:val="20"/>
          <w:lang w:val="en-GB" w:eastAsia="en-US"/>
        </w:rPr>
        <w:t>.</w:t>
      </w:r>
    </w:p>
    <w:p w:rsidR="009B70BD" w:rsidRDefault="0051047F">
      <w:pPr>
        <w:tabs>
          <w:tab w:val="left" w:pos="420"/>
        </w:tabs>
        <w:snapToGrid w:val="0"/>
        <w:spacing w:beforeLines="50" w:before="120" w:afterLines="50" w:after="120" w:line="300" w:lineRule="auto"/>
        <w:rPr>
          <w:iCs/>
        </w:rPr>
      </w:pPr>
      <w:r>
        <w:rPr>
          <w:rFonts w:hint="eastAsia"/>
        </w:rPr>
        <w:t xml:space="preserve">In current specification, </w:t>
      </w:r>
      <w:r>
        <w:t>the CBSR for Type-II codebook includes a</w:t>
      </w:r>
      <w:r>
        <w:rPr>
          <w:color w:val="000000"/>
        </w:rPr>
        <w:t xml:space="preserv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rFonts w:hint="eastAsia"/>
        </w:rPr>
        <w:t xml:space="preserve">. </w:t>
      </w:r>
      <w:r>
        <w:rPr>
          <w:color w:val="000000"/>
        </w:rPr>
        <w:t xml:space="preserve">The bit sequence </w:t>
      </w:r>
      <m:oMath>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(0)</m:t>
            </m:r>
          </m:sup>
        </m:sSubSup>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(1)</m:t>
            </m:r>
          </m:sup>
        </m:sSubSup>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(2)</m:t>
            </m:r>
          </m:sup>
        </m:sSubSup>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(3)</m:t>
            </m:r>
          </m:sup>
        </m:sSubSup>
      </m:oMath>
      <w:r>
        <w:rPr>
          <w:color w:val="000000"/>
        </w:rPr>
        <w:t xml:space="preserve"> is the concatenation of the bit sequences </w:t>
      </w:r>
      <m:oMath>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(k)</m:t>
            </m:r>
          </m:sup>
        </m:sSubSup>
      </m:oMath>
      <w:r>
        <w:rPr>
          <w:color w:val="000000"/>
        </w:rPr>
        <w:t xml:space="preserve"> for </w:t>
      </w:r>
      <w:r>
        <w:rPr>
          <w:color w:val="000000"/>
          <w:position w:val="-8"/>
        </w:rPr>
        <w:object w:dxaOrig="1002" w:dyaOrig="288">
          <v:shape id="_x0000_i1029" type="#_x0000_t75" style="width:49.85pt;height:14.3pt" o:ole="">
            <v:imagedata r:id="rId24" o:title=""/>
          </v:shape>
          <o:OLEObject Type="Embed" ProgID="Equation.DSMT4" ShapeID="_x0000_i1029" DrawAspect="Content" ObjectID="_1773819156" r:id="rId25"/>
        </w:object>
      </w:r>
      <w:r>
        <w:rPr>
          <w:color w:val="000000"/>
        </w:rPr>
        <w:t xml:space="preserve">, corresponding to the group indices </w:t>
      </w:r>
      <m:oMath>
        <m:sSup>
          <m:sSupPr>
            <m:ctrlPr>
              <w:rPr>
                <w:rFonts w:ascii="Cambria Math" w:hAnsi="Cambria Math"/>
                <w:color w:val="000000"/>
              </w:rPr>
            </m:ctrlPr>
          </m:sSupPr>
          <m:e>
            <m:r>
              <w:rPr>
                <w:rFonts w:ascii="Cambria Math" w:hAnsi="Cambria Math"/>
                <w:color w:val="000000"/>
              </w:rPr>
              <m:t>g</m:t>
            </m:r>
          </m:e>
          <m:sup>
            <m:r>
              <w:rPr>
                <w:rFonts w:ascii="Cambria Math" w:hAnsi="Cambria Math"/>
                <w:color w:val="000000"/>
              </w:rPr>
              <m:t>(k)</m:t>
            </m:r>
          </m:sup>
        </m:sSup>
      </m:oMath>
      <w:r>
        <w:rPr>
          <w:rFonts w:hint="eastAsia"/>
          <w:color w:val="000000"/>
        </w:rPr>
        <w:t xml:space="preserve">, where </w:t>
      </w:r>
      <w:r w:rsidR="00871F88">
        <w:rPr>
          <w:color w:val="000000"/>
        </w:rPr>
        <w:t xml:space="preserve">the </w:t>
      </w:r>
      <w:r>
        <w:rPr>
          <w:color w:val="000000"/>
        </w:rPr>
        <w:t xml:space="preserve">bit sequence </w:t>
      </w:r>
      <m:oMath>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(k)</m:t>
            </m:r>
          </m:sup>
        </m:sSubSup>
      </m:oMath>
      <w:r>
        <w:rPr>
          <w:color w:val="000000"/>
        </w:rPr>
        <w:t xml:space="preserve"> is defined as </w:t>
      </w:r>
      <m:oMath>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(k)</m:t>
            </m:r>
          </m:sup>
        </m:sSubSup>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(k, 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r>
              <w:rPr>
                <w:rFonts w:ascii="Cambria Math" w:hAnsi="Cambria Math"/>
                <w:color w:val="000000"/>
              </w:rPr>
              <m:t>-1)</m:t>
            </m:r>
          </m:sup>
        </m:sSubSup>
        <m:r>
          <m:rPr>
            <m:sty m:val="p"/>
          </m:rP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(k, 0)</m:t>
            </m:r>
          </m:sup>
        </m:sSubSup>
      </m:oMath>
      <w:r>
        <w:rPr>
          <w:rFonts w:hint="eastAsia"/>
          <w:color w:val="000000"/>
        </w:rPr>
        <w:t>. Based on this CBSR construction, each two b</w:t>
      </w:r>
      <w:r>
        <w:rPr>
          <w:color w:val="000000"/>
        </w:rPr>
        <w:t xml:space="preserve">its </w:t>
      </w:r>
      <m:oMath>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(k, 2</m:t>
            </m:r>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e>
            </m:d>
            <m:r>
              <w:rPr>
                <w:rFonts w:ascii="Cambria Math" w:hAnsi="Cambria Math"/>
                <w:color w:val="000000"/>
              </w:rPr>
              <m:t>+1)</m:t>
            </m:r>
          </m:sup>
        </m:sSubSup>
        <m:r>
          <m:rPr>
            <m:sty m:val="p"/>
          </m:rP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 xml:space="preserve">(k,2 </m:t>
            </m:r>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e>
            </m:d>
            <m:r>
              <w:rPr>
                <w:rFonts w:ascii="Cambria Math" w:hAnsi="Cambria Math"/>
                <w:color w:val="000000"/>
              </w:rPr>
              <m:t>)</m:t>
            </m:r>
          </m:sup>
        </m:sSubSup>
      </m:oMath>
      <w:r>
        <w:rPr>
          <w:color w:val="000000"/>
        </w:rPr>
        <w:t xml:space="preserve"> </w:t>
      </w:r>
      <w:r>
        <w:rPr>
          <w:rFonts w:hint="eastAsia"/>
          <w:color w:val="000000"/>
        </w:rPr>
        <w:t>are associated with only one SD basis</w:t>
      </w:r>
      <w:r>
        <w:rPr>
          <w:color w:val="000000"/>
        </w:rPr>
        <w:t xml:space="preserve"> in group </w:t>
      </w:r>
      <m:oMath>
        <m:sSup>
          <m:sSupPr>
            <m:ctrlPr>
              <w:rPr>
                <w:rFonts w:ascii="Cambria Math" w:hAnsi="Cambria Math"/>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indexed by </w:t>
      </w:r>
      <w:r>
        <w:rPr>
          <w:color w:val="000000"/>
          <w:position w:val="-10"/>
        </w:rPr>
        <w:object w:dxaOrig="438" w:dyaOrig="288">
          <v:shape id="_x0000_i1030" type="#_x0000_t75" style="width:22.15pt;height:14.3pt" o:ole="">
            <v:imagedata r:id="rId26" o:title=""/>
          </v:shape>
          <o:OLEObject Type="Embed" ProgID="Equation.DSMT4" ShapeID="_x0000_i1030" DrawAspect="Content" ObjectID="_1773819157" r:id="rId27"/>
        </w:object>
      </w:r>
      <w:r>
        <w:rPr>
          <w:rFonts w:hint="eastAsia"/>
        </w:rPr>
        <w:t>. As the number of antenna ports increases up to 128 CSI-RS ports, the signaling overhead of the CBSR for Rel-19 Type-II codebook refinement would be significantly increased. Considering the signaling overhead and computation complexity at UE side, e</w:t>
      </w:r>
      <w:r>
        <w:rPr>
          <w:rFonts w:hint="eastAsia"/>
          <w:iCs/>
        </w:rPr>
        <w:t>ach</w:t>
      </w:r>
      <w:r>
        <w:rPr>
          <w:iCs/>
        </w:rPr>
        <w:t xml:space="preserve"> two bits in </w:t>
      </w:r>
      <m:oMath>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iCs/>
        </w:rPr>
        <w:t xml:space="preserve"> </w:t>
      </w:r>
      <w:r>
        <w:rPr>
          <w:rFonts w:hint="eastAsia"/>
          <w:iCs/>
        </w:rPr>
        <w:t>can be</w:t>
      </w:r>
      <w:r>
        <w:rPr>
          <w:iCs/>
        </w:rPr>
        <w:t xml:space="preserve"> associated with multiple SD </w:t>
      </w:r>
      <w:r w:rsidR="00E56058">
        <w:rPr>
          <w:iCs/>
        </w:rPr>
        <w:t>bases</w:t>
      </w:r>
      <w:r>
        <w:rPr>
          <w:rFonts w:hint="eastAsia"/>
          <w:iCs/>
        </w:rPr>
        <w:t xml:space="preserve">. As shown in Figure </w:t>
      </w:r>
      <w:r w:rsidR="00E56058">
        <w:rPr>
          <w:iCs/>
        </w:rPr>
        <w:t>7</w:t>
      </w:r>
      <w:r>
        <w:rPr>
          <w:rFonts w:hint="eastAsia"/>
          <w:iCs/>
        </w:rPr>
        <w:t xml:space="preserve">, </w:t>
      </w:r>
      <w:r>
        <w:rPr>
          <w:rFonts w:hint="eastAsia"/>
          <w:color w:val="000000"/>
        </w:rPr>
        <w:t>each two b</w:t>
      </w:r>
      <w:r>
        <w:rPr>
          <w:color w:val="000000"/>
        </w:rPr>
        <w:t xml:space="preserve">its </w:t>
      </w:r>
      <w:r w:rsidR="005331D1">
        <w:rPr>
          <w:color w:val="000000"/>
        </w:rPr>
        <w:t xml:space="preserve">in </w:t>
      </w:r>
      <m:oMath>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2</m:t>
            </m:r>
          </m:sub>
          <m:sup>
            <m:r>
              <w:rPr>
                <w:rFonts w:ascii="Cambria Math" w:hAnsi="Cambria Math"/>
                <w:color w:val="000000"/>
              </w:rPr>
              <m:t>(k)</m:t>
            </m:r>
          </m:sup>
        </m:sSubSup>
      </m:oMath>
      <w:r w:rsidR="005331D1">
        <w:rPr>
          <w:rFonts w:hint="eastAsia"/>
          <w:color w:val="000000"/>
        </w:rPr>
        <w:t xml:space="preserve"> </w:t>
      </w:r>
      <w:r>
        <w:rPr>
          <w:rFonts w:hint="eastAsia"/>
          <w:color w:val="000000"/>
        </w:rPr>
        <w:t>are associated with</w:t>
      </w:r>
      <w:r w:rsidR="005331D1">
        <w:rPr>
          <w:color w:val="000000"/>
        </w:rPr>
        <w:t xml:space="preserve"> a set of</w:t>
      </w:r>
      <w:r>
        <w:rPr>
          <w:rFonts w:hint="eastAsia"/>
          <w:color w:val="000000"/>
        </w:rPr>
        <w:t xml:space="preserve"> </w:t>
      </w:r>
      <w:r w:rsidR="005331D1" w:rsidRPr="002A74A3">
        <w:rPr>
          <w:iCs/>
        </w:rPr>
        <w:t>X</w:t>
      </w:r>
      <w:r w:rsidR="005331D1" w:rsidRPr="002A74A3">
        <w:rPr>
          <w:iCs/>
          <w:vertAlign w:val="subscript"/>
        </w:rPr>
        <w:t>1</w:t>
      </w:r>
      <w:r w:rsidR="005331D1" w:rsidRPr="002A74A3">
        <w:rPr>
          <w:iCs/>
        </w:rPr>
        <w:t>X</w:t>
      </w:r>
      <w:r w:rsidR="005331D1" w:rsidRPr="002A74A3">
        <w:rPr>
          <w:iCs/>
          <w:vertAlign w:val="subscript"/>
        </w:rPr>
        <w:t>2</w:t>
      </w:r>
      <w:r w:rsidR="005331D1" w:rsidRPr="002A74A3">
        <w:rPr>
          <w:iCs/>
        </w:rPr>
        <w:t xml:space="preserve"> SD bases</w:t>
      </w:r>
      <w:r>
        <w:rPr>
          <w:color w:val="000000"/>
        </w:rPr>
        <w:t xml:space="preserve"> in</w:t>
      </w:r>
      <w:r w:rsidR="005331D1">
        <w:rPr>
          <w:color w:val="000000"/>
        </w:rPr>
        <w:t xml:space="preserve"> the</w:t>
      </w:r>
      <w:r>
        <w:rPr>
          <w:color w:val="000000"/>
        </w:rPr>
        <w:t xml:space="preserve"> group </w:t>
      </w:r>
      <m:oMath>
        <m:sSup>
          <m:sSupPr>
            <m:ctrlPr>
              <w:rPr>
                <w:rFonts w:ascii="Cambria Math" w:hAnsi="Cambria Math"/>
                <w:color w:val="000000"/>
              </w:rPr>
            </m:ctrlPr>
          </m:sSupPr>
          <m:e>
            <m:r>
              <w:rPr>
                <w:rFonts w:ascii="Cambria Math" w:hAnsi="Cambria Math"/>
                <w:color w:val="000000"/>
              </w:rPr>
              <m:t>g</m:t>
            </m:r>
          </m:e>
          <m:sup>
            <m:r>
              <w:rPr>
                <w:rFonts w:ascii="Cambria Math" w:hAnsi="Cambria Math"/>
                <w:color w:val="000000"/>
              </w:rPr>
              <m:t>(k)</m:t>
            </m:r>
          </m:sup>
        </m:sSup>
      </m:oMath>
      <w:r>
        <w:rPr>
          <w:rFonts w:hint="eastAsia"/>
          <w:color w:val="000000"/>
        </w:rPr>
        <w:t>,</w:t>
      </w:r>
      <w:r w:rsidR="005331D1">
        <w:rPr>
          <w:color w:val="000000"/>
        </w:rPr>
        <w:t xml:space="preserve"> where the set includes </w:t>
      </w:r>
      <w:r w:rsidR="005331D1" w:rsidRPr="00955535">
        <w:rPr>
          <w:iCs/>
        </w:rPr>
        <w:t>X</w:t>
      </w:r>
      <w:r w:rsidR="005331D1" w:rsidRPr="00955535">
        <w:rPr>
          <w:iCs/>
          <w:vertAlign w:val="subscript"/>
        </w:rPr>
        <w:t>1</w:t>
      </w:r>
      <w:r w:rsidR="005331D1">
        <w:rPr>
          <w:iCs/>
        </w:rPr>
        <w:t xml:space="preserve"> SD bases along the N</w:t>
      </w:r>
      <w:r w:rsidR="005331D1">
        <w:rPr>
          <w:iCs/>
          <w:vertAlign w:val="subscript"/>
        </w:rPr>
        <w:t>1</w:t>
      </w:r>
      <w:r w:rsidR="005331D1">
        <w:rPr>
          <w:iCs/>
        </w:rPr>
        <w:t xml:space="preserve"> direction and X</w:t>
      </w:r>
      <w:r w:rsidR="005331D1">
        <w:rPr>
          <w:iCs/>
          <w:vertAlign w:val="subscript"/>
        </w:rPr>
        <w:t>2</w:t>
      </w:r>
      <w:r w:rsidR="005331D1">
        <w:rPr>
          <w:iCs/>
        </w:rPr>
        <w:t xml:space="preserve"> SD bases along the N</w:t>
      </w:r>
      <w:r w:rsidR="005331D1">
        <w:rPr>
          <w:iCs/>
          <w:vertAlign w:val="subscript"/>
        </w:rPr>
        <w:t>2</w:t>
      </w:r>
      <w:r w:rsidR="005331D1">
        <w:rPr>
          <w:iCs/>
        </w:rPr>
        <w:t xml:space="preserve"> direction</w:t>
      </w:r>
      <w:r>
        <w:rPr>
          <w:rFonts w:hint="eastAsia"/>
          <w:color w:val="000000"/>
        </w:rPr>
        <w:t>.</w:t>
      </w:r>
    </w:p>
    <w:p w:rsidR="009B70BD" w:rsidRDefault="005331D1">
      <w:pPr>
        <w:tabs>
          <w:tab w:val="left" w:pos="420"/>
        </w:tabs>
        <w:snapToGrid w:val="0"/>
        <w:spacing w:beforeLines="50" w:before="120" w:afterLines="50" w:after="120" w:line="300" w:lineRule="auto"/>
        <w:jc w:val="center"/>
      </w:pPr>
      <w:r>
        <w:rPr>
          <w:noProof/>
        </w:rPr>
        <w:lastRenderedPageBreak/>
        <w:drawing>
          <wp:inline distT="0" distB="0" distL="114300" distR="114300" wp14:anchorId="5E9336F3" wp14:editId="50AFFD9D">
            <wp:extent cx="3599815" cy="1192530"/>
            <wp:effectExtent l="0" t="0" r="635" b="762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28"/>
                    <a:stretch>
                      <a:fillRect/>
                    </a:stretch>
                  </pic:blipFill>
                  <pic:spPr>
                    <a:xfrm>
                      <a:off x="0" y="0"/>
                      <a:ext cx="3599815" cy="1192530"/>
                    </a:xfrm>
                    <a:prstGeom prst="rect">
                      <a:avLst/>
                    </a:prstGeom>
                    <a:noFill/>
                    <a:ln>
                      <a:noFill/>
                    </a:ln>
                  </pic:spPr>
                </pic:pic>
              </a:graphicData>
            </a:graphic>
          </wp:inline>
        </w:drawing>
      </w:r>
    </w:p>
    <w:p w:rsidR="009B70BD" w:rsidRDefault="0051047F">
      <w:pPr>
        <w:tabs>
          <w:tab w:val="left" w:pos="420"/>
        </w:tabs>
        <w:snapToGrid w:val="0"/>
        <w:spacing w:beforeLines="50" w:before="120" w:afterLines="50" w:after="120" w:line="300" w:lineRule="auto"/>
        <w:jc w:val="center"/>
      </w:pPr>
      <w:r w:rsidRPr="002A74A3">
        <w:rPr>
          <w:b/>
        </w:rPr>
        <w:t xml:space="preserve">Figure </w:t>
      </w:r>
      <w:r w:rsidR="00E56058" w:rsidRPr="002A74A3">
        <w:rPr>
          <w:b/>
        </w:rPr>
        <w:t>7</w:t>
      </w:r>
      <w:r>
        <w:rPr>
          <w:rFonts w:hint="eastAsia"/>
        </w:rPr>
        <w:t xml:space="preserve"> CBSR</w:t>
      </w:r>
      <w:r w:rsidR="00A25F24">
        <w:t xml:space="preserve"> refinement</w:t>
      </w:r>
      <w:r>
        <w:rPr>
          <w:rFonts w:hint="eastAsia"/>
        </w:rPr>
        <w:t xml:space="preserve"> for Type-II codebook</w:t>
      </w:r>
    </w:p>
    <w:p w:rsidR="009B70BD" w:rsidRDefault="0051047F">
      <w:pPr>
        <w:snapToGrid w:val="0"/>
        <w:spacing w:beforeLines="50" w:before="120" w:afterLines="50" w:after="120" w:line="300" w:lineRule="auto"/>
        <w:rPr>
          <w:bCs/>
          <w:i/>
          <w:iCs/>
        </w:rPr>
      </w:pPr>
      <w:r>
        <w:rPr>
          <w:rFonts w:hint="eastAsia"/>
          <w:b/>
          <w:i/>
          <w:iCs/>
          <w:kern w:val="2"/>
          <w:szCs w:val="20"/>
        </w:rPr>
        <w:t xml:space="preserve">Proposal </w:t>
      </w:r>
      <w:r w:rsidR="00E56058">
        <w:rPr>
          <w:b/>
          <w:i/>
          <w:iCs/>
          <w:kern w:val="2"/>
          <w:szCs w:val="20"/>
        </w:rPr>
        <w:t>12</w:t>
      </w:r>
      <w:r>
        <w:rPr>
          <w:rFonts w:hint="eastAsia"/>
          <w:b/>
          <w:i/>
          <w:iCs/>
          <w:kern w:val="2"/>
          <w:szCs w:val="20"/>
        </w:rPr>
        <w:t>:</w:t>
      </w:r>
      <w:r>
        <w:rPr>
          <w:rFonts w:hint="eastAsia"/>
          <w:bCs/>
          <w:i/>
          <w:iCs/>
          <w:kern w:val="2"/>
          <w:szCs w:val="20"/>
        </w:rPr>
        <w:t xml:space="preserve"> </w:t>
      </w:r>
      <w:r>
        <w:rPr>
          <w:rFonts w:hint="eastAsia"/>
          <w:bCs/>
          <w:i/>
          <w:iCs/>
        </w:rPr>
        <w:t>Regarding Rel-19 Type-I and Type-II codebook refinement</w:t>
      </w:r>
      <w:r>
        <w:rPr>
          <w:bCs/>
          <w:i/>
          <w:iCs/>
        </w:rPr>
        <w:t>, support the following soft CBSR refinement for Type-II codebook to reduce the RRC overhead:</w:t>
      </w:r>
    </w:p>
    <w:p w:rsidR="009B70BD" w:rsidRDefault="0051047F" w:rsidP="002A74A3">
      <w:pPr>
        <w:numPr>
          <w:ilvl w:val="0"/>
          <w:numId w:val="13"/>
        </w:numPr>
        <w:snapToGrid w:val="0"/>
        <w:spacing w:beforeLines="50" w:before="120" w:afterLines="50" w:after="120" w:line="300" w:lineRule="auto"/>
      </w:pPr>
      <w:r>
        <w:rPr>
          <w:i/>
          <w:iCs/>
        </w:rPr>
        <w:t>Each two consecutive bits in the bit sequence B2 is associated with a set of X</w:t>
      </w:r>
      <w:r>
        <w:rPr>
          <w:i/>
          <w:iCs/>
          <w:vertAlign w:val="subscript"/>
        </w:rPr>
        <w:t>1</w:t>
      </w:r>
      <w:r>
        <w:rPr>
          <w:i/>
          <w:iCs/>
        </w:rPr>
        <w:t>X</w:t>
      </w:r>
      <w:r>
        <w:rPr>
          <w:i/>
          <w:iCs/>
          <w:vertAlign w:val="subscript"/>
        </w:rPr>
        <w:t>2</w:t>
      </w:r>
      <w:r>
        <w:rPr>
          <w:i/>
          <w:iCs/>
        </w:rPr>
        <w:t xml:space="preserve"> SD bases, where the set covers X</w:t>
      </w:r>
      <w:r>
        <w:rPr>
          <w:i/>
          <w:iCs/>
          <w:vertAlign w:val="subscript"/>
        </w:rPr>
        <w:t>1</w:t>
      </w:r>
      <w:r>
        <w:rPr>
          <w:i/>
          <w:iCs/>
        </w:rPr>
        <w:t xml:space="preserve"> SD bases along the N</w:t>
      </w:r>
      <w:r>
        <w:rPr>
          <w:i/>
          <w:iCs/>
          <w:vertAlign w:val="subscript"/>
        </w:rPr>
        <w:t>1</w:t>
      </w:r>
      <w:r>
        <w:rPr>
          <w:i/>
          <w:iCs/>
        </w:rPr>
        <w:t xml:space="preserve"> direction and X</w:t>
      </w:r>
      <w:r>
        <w:rPr>
          <w:i/>
          <w:iCs/>
          <w:vertAlign w:val="subscript"/>
        </w:rPr>
        <w:t>2</w:t>
      </w:r>
      <w:r>
        <w:rPr>
          <w:i/>
          <w:iCs/>
        </w:rPr>
        <w:t xml:space="preserve"> SD bases along the N</w:t>
      </w:r>
      <w:r>
        <w:rPr>
          <w:i/>
          <w:iCs/>
          <w:vertAlign w:val="subscript"/>
        </w:rPr>
        <w:t>2</w:t>
      </w:r>
      <w:r>
        <w:rPr>
          <w:i/>
          <w:iCs/>
        </w:rPr>
        <w:t xml:space="preserve"> direction in the corresponding SD basis group.</w:t>
      </w:r>
    </w:p>
    <w:p w:rsidR="00A47FA3" w:rsidRDefault="0051047F" w:rsidP="00A47FA3">
      <w:pPr>
        <w:numPr>
          <w:ilvl w:val="1"/>
          <w:numId w:val="8"/>
        </w:numPr>
        <w:snapToGrid w:val="0"/>
        <w:spacing w:before="240" w:afterLines="50" w:after="120" w:line="240" w:lineRule="auto"/>
        <w:outlineLvl w:val="1"/>
        <w:rPr>
          <w:b/>
          <w:bCs/>
          <w:sz w:val="21"/>
          <w:szCs w:val="21"/>
        </w:rPr>
      </w:pPr>
      <w:r>
        <w:rPr>
          <w:b/>
          <w:sz w:val="24"/>
          <w:szCs w:val="20"/>
          <w:lang w:eastAsia="en-US"/>
        </w:rPr>
        <w:t>CRI</w:t>
      </w:r>
      <w:r>
        <w:rPr>
          <w:rFonts w:hint="eastAsia"/>
          <w:b/>
          <w:sz w:val="24"/>
          <w:szCs w:val="20"/>
        </w:rPr>
        <w:t>s</w:t>
      </w:r>
      <w:r>
        <w:rPr>
          <w:b/>
          <w:sz w:val="24"/>
          <w:szCs w:val="20"/>
          <w:lang w:eastAsia="en-US"/>
        </w:rPr>
        <w:t xml:space="preserve">-based CSI reporting for hybrid beamforming </w:t>
      </w:r>
      <w:r>
        <w:rPr>
          <w:rFonts w:hint="eastAsia"/>
          <w:b/>
          <w:sz w:val="24"/>
          <w:szCs w:val="20"/>
        </w:rPr>
        <w:t>for</w:t>
      </w:r>
      <w:r>
        <w:rPr>
          <w:b/>
          <w:sz w:val="24"/>
          <w:szCs w:val="20"/>
          <w:lang w:eastAsia="en-US"/>
        </w:rPr>
        <w:t xml:space="preserve"> up to 128 CSI-RS ports</w:t>
      </w:r>
    </w:p>
    <w:p w:rsidR="00A47FA3" w:rsidRPr="002A74A3" w:rsidRDefault="00AF07F1" w:rsidP="002A74A3">
      <w:pPr>
        <w:tabs>
          <w:tab w:val="left" w:pos="432"/>
        </w:tabs>
        <w:snapToGrid w:val="0"/>
        <w:spacing w:beforeLines="50" w:before="120" w:afterLines="50" w:after="120" w:line="300" w:lineRule="auto"/>
      </w:pPr>
      <w:r>
        <w:rPr>
          <w:rFonts w:hint="eastAsia"/>
        </w:rPr>
        <w:t>I</w:t>
      </w:r>
      <w:r>
        <w:t>n RAN1#116 meeting, we reached the following two agreements on CRIs-based CSI reporting.</w:t>
      </w:r>
    </w:p>
    <w:tbl>
      <w:tblPr>
        <w:tblStyle w:val="af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70BD">
        <w:tc>
          <w:tcPr>
            <w:tcW w:w="9576" w:type="dxa"/>
          </w:tcPr>
          <w:p w:rsidR="009B70BD" w:rsidRDefault="0051047F">
            <w:pPr>
              <w:widowControl w:val="0"/>
              <w:snapToGrid w:val="0"/>
              <w:spacing w:after="0" w:line="300" w:lineRule="auto"/>
              <w:rPr>
                <w:szCs w:val="20"/>
                <w:u w:val="single"/>
              </w:rPr>
            </w:pPr>
            <w:r>
              <w:rPr>
                <w:b/>
                <w:szCs w:val="20"/>
                <w:u w:val="single"/>
              </w:rPr>
              <w:t>Agreement (RAN1#116)</w:t>
            </w:r>
          </w:p>
          <w:p w:rsidR="009B70BD" w:rsidRDefault="0051047F">
            <w:pPr>
              <w:snapToGrid w:val="0"/>
              <w:spacing w:after="0" w:line="240" w:lineRule="exact"/>
              <w:rPr>
                <w:rFonts w:eastAsia="Batang"/>
                <w:iCs/>
                <w:szCs w:val="20"/>
                <w:lang w:val="en-GB" w:eastAsia="en-US"/>
              </w:rPr>
            </w:pPr>
            <w:r>
              <w:rPr>
                <w:rFonts w:eastAsia="Batang"/>
                <w:szCs w:val="20"/>
                <w:lang w:val="en-GB" w:eastAsia="en-US"/>
              </w:rPr>
              <w:t>For the</w:t>
            </w:r>
            <w:r>
              <w:rPr>
                <w:rFonts w:eastAsia="Batang"/>
                <w:iCs/>
                <w:szCs w:val="20"/>
                <w:lang w:val="en-GB" w:eastAsia="en-US"/>
              </w:rPr>
              <w:t xml:space="preserve"> Rel-19 CRI-based CSI refinement for up to 128 CSI-RS ports, regarding the supported codebook(s) for calculating CQI/PMI/RI on each of the M CRI(s), decide, in RAN1#116bis, between the two alternatives: </w:t>
            </w:r>
          </w:p>
          <w:p w:rsidR="009B70BD" w:rsidRDefault="0051047F">
            <w:pPr>
              <w:numPr>
                <w:ilvl w:val="0"/>
                <w:numId w:val="16"/>
              </w:numPr>
              <w:snapToGrid w:val="0"/>
              <w:spacing w:after="0" w:line="240" w:lineRule="exact"/>
              <w:rPr>
                <w:rFonts w:eastAsia="Batang"/>
                <w:iCs/>
                <w:szCs w:val="20"/>
                <w:lang w:val="en-GB" w:eastAsia="en-US"/>
              </w:rPr>
            </w:pPr>
            <w:r>
              <w:rPr>
                <w:rFonts w:eastAsia="Batang"/>
                <w:iCs/>
                <w:szCs w:val="20"/>
                <w:lang w:val="en-GB" w:eastAsia="en-US"/>
              </w:rPr>
              <w:t xml:space="preserve">Alt1: only Rel-15 Type-I Single Panel codebook </w:t>
            </w:r>
          </w:p>
          <w:p w:rsidR="009B70BD" w:rsidRDefault="0051047F">
            <w:pPr>
              <w:numPr>
                <w:ilvl w:val="0"/>
                <w:numId w:val="16"/>
              </w:numPr>
              <w:snapToGrid w:val="0"/>
              <w:spacing w:after="0" w:line="240" w:lineRule="exact"/>
              <w:rPr>
                <w:rFonts w:eastAsia="Batang"/>
                <w:iCs/>
                <w:szCs w:val="20"/>
                <w:lang w:val="en-GB" w:eastAsia="en-US"/>
              </w:rPr>
            </w:pPr>
            <w:r>
              <w:rPr>
                <w:rFonts w:eastAsia="Batang"/>
                <w:iCs/>
                <w:szCs w:val="20"/>
                <w:lang w:val="en-GB" w:eastAsia="en-US"/>
              </w:rPr>
              <w:t xml:space="preserve">Alt2: Rel-15 Type-I Single Panel codebook and the Rel-16 </w:t>
            </w:r>
            <w:proofErr w:type="spellStart"/>
            <w:r>
              <w:rPr>
                <w:rFonts w:eastAsia="Batang"/>
                <w:iCs/>
                <w:szCs w:val="20"/>
                <w:lang w:val="en-GB" w:eastAsia="en-US"/>
              </w:rPr>
              <w:t>eType</w:t>
            </w:r>
            <w:proofErr w:type="spellEnd"/>
            <w:r>
              <w:rPr>
                <w:rFonts w:eastAsia="Batang"/>
                <w:iCs/>
                <w:szCs w:val="20"/>
                <w:lang w:val="en-GB" w:eastAsia="en-US"/>
              </w:rPr>
              <w:t>-II codebook</w:t>
            </w:r>
          </w:p>
          <w:p w:rsidR="009B70BD" w:rsidRDefault="0051047F">
            <w:pPr>
              <w:widowControl w:val="0"/>
              <w:snapToGrid w:val="0"/>
              <w:spacing w:after="0" w:line="300" w:lineRule="auto"/>
              <w:rPr>
                <w:szCs w:val="20"/>
                <w:u w:val="single"/>
              </w:rPr>
            </w:pPr>
            <w:r>
              <w:rPr>
                <w:b/>
                <w:szCs w:val="20"/>
                <w:u w:val="single"/>
              </w:rPr>
              <w:t>Agreement (RAN1#116)</w:t>
            </w:r>
          </w:p>
          <w:p w:rsidR="009B70BD" w:rsidRDefault="0051047F">
            <w:pPr>
              <w:snapToGrid w:val="0"/>
              <w:spacing w:after="0" w:line="240" w:lineRule="exact"/>
              <w:rPr>
                <w:rFonts w:eastAsia="Batang"/>
                <w:iCs/>
                <w:szCs w:val="20"/>
                <w:lang w:val="en-GB" w:eastAsia="en-US"/>
              </w:rPr>
            </w:pPr>
            <w:r>
              <w:rPr>
                <w:rFonts w:eastAsia="Batang"/>
                <w:iCs/>
                <w:szCs w:val="20"/>
                <w:lang w:val="en-GB" w:eastAsia="en-US"/>
              </w:rPr>
              <w:t xml:space="preserve">For the Rel-19 CRI-based CSI refinement for up to 128 CSI-RS ports, </w:t>
            </w:r>
            <w:r>
              <w:rPr>
                <w:rFonts w:eastAsia="Batang"/>
                <w:i/>
                <w:iCs/>
                <w:szCs w:val="20"/>
                <w:lang w:val="en-GB" w:eastAsia="en-US"/>
              </w:rPr>
              <w:t>in accordance to the WID</w:t>
            </w:r>
            <w:r>
              <w:rPr>
                <w:rFonts w:eastAsia="Batang"/>
                <w:iCs/>
                <w:szCs w:val="20"/>
                <w:lang w:val="en-GB" w:eastAsia="en-US"/>
              </w:rPr>
              <w:t>, extend the Rel-15 CRI-based CSI reporting as follows:</w:t>
            </w:r>
          </w:p>
          <w:p w:rsidR="009B70BD" w:rsidRDefault="0051047F">
            <w:pPr>
              <w:numPr>
                <w:ilvl w:val="0"/>
                <w:numId w:val="10"/>
              </w:numPr>
              <w:snapToGrid w:val="0"/>
              <w:spacing w:after="0" w:line="240" w:lineRule="exact"/>
              <w:rPr>
                <w:rFonts w:eastAsia="微软雅黑"/>
                <w:iCs/>
                <w:szCs w:val="20"/>
                <w:lang w:val="en-GB" w:eastAsia="en-US"/>
              </w:rPr>
            </w:pPr>
            <w:r>
              <w:rPr>
                <w:rFonts w:eastAsia="微软雅黑"/>
                <w:iCs/>
                <w:szCs w:val="20"/>
                <w:lang w:val="en-GB" w:eastAsia="en-US"/>
              </w:rPr>
              <w:t>A UE is configured to measure K</w:t>
            </w:r>
            <w:r>
              <w:rPr>
                <w:rFonts w:eastAsia="微软雅黑"/>
                <w:iCs/>
                <w:szCs w:val="20"/>
                <w:vertAlign w:val="subscript"/>
                <w:lang w:val="en-GB" w:eastAsia="en-US"/>
              </w:rPr>
              <w:t>S</w:t>
            </w:r>
            <w:r>
              <w:rPr>
                <w:rFonts w:eastAsia="微软雅黑"/>
                <w:iCs/>
                <w:szCs w:val="20"/>
                <w:lang w:val="en-GB" w:eastAsia="en-US"/>
              </w:rPr>
              <w:t>&gt;1 NZP CSI-RS resources with equal number of ports, with up to 32 ports per NZP CSI-RS resource</w:t>
            </w:r>
          </w:p>
          <w:p w:rsidR="009B70BD" w:rsidRDefault="0051047F">
            <w:pPr>
              <w:numPr>
                <w:ilvl w:val="1"/>
                <w:numId w:val="10"/>
              </w:numPr>
              <w:snapToGrid w:val="0"/>
              <w:spacing w:after="0" w:line="240" w:lineRule="exact"/>
              <w:rPr>
                <w:rFonts w:eastAsia="微软雅黑"/>
                <w:iCs/>
                <w:szCs w:val="20"/>
                <w:lang w:val="en-GB" w:eastAsia="en-US"/>
              </w:rPr>
            </w:pPr>
            <w:r>
              <w:rPr>
                <w:rFonts w:eastAsia="微软雅黑"/>
                <w:iCs/>
                <w:szCs w:val="20"/>
                <w:lang w:val="en-GB" w:eastAsia="en-US"/>
              </w:rPr>
              <w:t>Note: The maximum number of ports per NZP CSI-RS resource for a given value of K</w:t>
            </w:r>
            <w:r>
              <w:rPr>
                <w:rFonts w:eastAsia="微软雅黑"/>
                <w:iCs/>
                <w:szCs w:val="20"/>
                <w:vertAlign w:val="subscript"/>
                <w:lang w:val="en-GB" w:eastAsia="en-US"/>
              </w:rPr>
              <w:t>S</w:t>
            </w:r>
            <w:r>
              <w:rPr>
                <w:rFonts w:eastAsia="微软雅黑"/>
                <w:iCs/>
                <w:szCs w:val="20"/>
                <w:lang w:val="en-GB" w:eastAsia="en-US"/>
              </w:rPr>
              <w:t xml:space="preserve"> will be discussed separately</w:t>
            </w:r>
          </w:p>
          <w:p w:rsidR="009B70BD" w:rsidRDefault="0051047F">
            <w:pPr>
              <w:numPr>
                <w:ilvl w:val="0"/>
                <w:numId w:val="10"/>
              </w:numPr>
              <w:snapToGrid w:val="0"/>
              <w:spacing w:after="0" w:line="240" w:lineRule="exact"/>
              <w:rPr>
                <w:rFonts w:eastAsia="微软雅黑"/>
                <w:iCs/>
                <w:szCs w:val="20"/>
                <w:lang w:val="en-GB" w:eastAsia="en-US"/>
              </w:rPr>
            </w:pPr>
            <w:r>
              <w:rPr>
                <w:rFonts w:eastAsia="Batang"/>
                <w:iCs/>
                <w:szCs w:val="20"/>
                <w:lang w:val="en-GB" w:eastAsia="en-US"/>
              </w:rPr>
              <w:t>Containing the information of M “quadruplets” {(</w:t>
            </w:r>
            <w:proofErr w:type="spellStart"/>
            <w:r>
              <w:rPr>
                <w:rFonts w:eastAsia="Batang"/>
                <w:iCs/>
                <w:szCs w:val="20"/>
                <w:lang w:val="en-GB" w:eastAsia="en-US"/>
              </w:rPr>
              <w:t>CRI</w:t>
            </w:r>
            <w:r>
              <w:rPr>
                <w:rFonts w:eastAsia="Batang"/>
                <w:iCs/>
                <w:szCs w:val="20"/>
                <w:vertAlign w:val="subscript"/>
                <w:lang w:val="en-GB" w:eastAsia="en-US"/>
              </w:rPr>
              <w:t>n</w:t>
            </w:r>
            <w:proofErr w:type="spellEnd"/>
            <w:r>
              <w:rPr>
                <w:rFonts w:eastAsia="Batang"/>
                <w:iCs/>
                <w:szCs w:val="20"/>
                <w:lang w:val="en-GB" w:eastAsia="en-US"/>
              </w:rPr>
              <w:t xml:space="preserve">, </w:t>
            </w:r>
            <w:proofErr w:type="spellStart"/>
            <w:r>
              <w:rPr>
                <w:rFonts w:eastAsia="Batang"/>
                <w:iCs/>
                <w:szCs w:val="20"/>
                <w:lang w:val="en-GB" w:eastAsia="en-US"/>
              </w:rPr>
              <w:t>RI</w:t>
            </w:r>
            <w:r>
              <w:rPr>
                <w:rFonts w:eastAsia="Batang"/>
                <w:iCs/>
                <w:szCs w:val="20"/>
                <w:vertAlign w:val="subscript"/>
                <w:lang w:val="en-GB" w:eastAsia="en-US"/>
              </w:rPr>
              <w:t>n</w:t>
            </w:r>
            <w:proofErr w:type="spellEnd"/>
            <w:r>
              <w:rPr>
                <w:rFonts w:eastAsia="Batang"/>
                <w:iCs/>
                <w:szCs w:val="20"/>
                <w:lang w:val="en-GB" w:eastAsia="en-US"/>
              </w:rPr>
              <w:t xml:space="preserve">, </w:t>
            </w:r>
            <w:proofErr w:type="spellStart"/>
            <w:r>
              <w:rPr>
                <w:rFonts w:eastAsia="Batang"/>
                <w:iCs/>
                <w:szCs w:val="20"/>
                <w:lang w:val="en-GB" w:eastAsia="en-US"/>
              </w:rPr>
              <w:t>PMI</w:t>
            </w:r>
            <w:r>
              <w:rPr>
                <w:rFonts w:eastAsia="Batang"/>
                <w:iCs/>
                <w:szCs w:val="20"/>
                <w:vertAlign w:val="subscript"/>
                <w:lang w:val="en-GB" w:eastAsia="en-US"/>
              </w:rPr>
              <w:t>n</w:t>
            </w:r>
            <w:proofErr w:type="spellEnd"/>
            <w:r>
              <w:rPr>
                <w:rFonts w:eastAsia="Batang"/>
                <w:iCs/>
                <w:szCs w:val="20"/>
                <w:lang w:val="en-GB" w:eastAsia="en-US"/>
              </w:rPr>
              <w:t xml:space="preserve">, </w:t>
            </w:r>
            <w:proofErr w:type="spellStart"/>
            <w:r>
              <w:rPr>
                <w:rFonts w:eastAsia="Batang"/>
                <w:iCs/>
                <w:szCs w:val="20"/>
                <w:lang w:val="en-GB" w:eastAsia="en-US"/>
              </w:rPr>
              <w:t>CQI</w:t>
            </w:r>
            <w:r>
              <w:rPr>
                <w:rFonts w:eastAsia="Batang"/>
                <w:iCs/>
                <w:szCs w:val="20"/>
                <w:vertAlign w:val="subscript"/>
                <w:lang w:val="en-GB" w:eastAsia="en-US"/>
              </w:rPr>
              <w:t>n</w:t>
            </w:r>
            <w:proofErr w:type="spellEnd"/>
            <w:r>
              <w:rPr>
                <w:rFonts w:eastAsia="Batang"/>
                <w:iCs/>
                <w:szCs w:val="20"/>
                <w:lang w:val="en-GB" w:eastAsia="en-US"/>
              </w:rPr>
              <w:t>), n=0, …, M–1} in one CSI reporting instance where the value range of M (</w:t>
            </w:r>
            <w:r>
              <w:rPr>
                <w:rFonts w:eastAsia="Batang" w:hint="eastAsia"/>
                <w:iCs/>
                <w:szCs w:val="20"/>
                <w:lang w:val="en-GB" w:eastAsia="en-US"/>
              </w:rPr>
              <w:t>≤</w:t>
            </w:r>
            <w:r>
              <w:rPr>
                <w:rFonts w:eastAsia="微软雅黑"/>
                <w:iCs/>
                <w:szCs w:val="20"/>
                <w:lang w:val="en-GB" w:eastAsia="en-US"/>
              </w:rPr>
              <w:t>K</w:t>
            </w:r>
            <w:r>
              <w:rPr>
                <w:rFonts w:eastAsia="微软雅黑"/>
                <w:iCs/>
                <w:szCs w:val="20"/>
                <w:vertAlign w:val="subscript"/>
                <w:lang w:val="en-GB" w:eastAsia="en-US"/>
              </w:rPr>
              <w:t>S</w:t>
            </w:r>
            <w:r>
              <w:rPr>
                <w:rFonts w:eastAsia="Batang"/>
                <w:iCs/>
                <w:szCs w:val="20"/>
                <w:lang w:val="en-GB" w:eastAsia="en-US"/>
              </w:rPr>
              <w:t xml:space="preserve">) is {1, …, </w:t>
            </w:r>
            <w:proofErr w:type="gramStart"/>
            <w:r>
              <w:rPr>
                <w:rFonts w:eastAsia="Batang"/>
                <w:iCs/>
                <w:szCs w:val="20"/>
                <w:lang w:val="en-GB" w:eastAsia="en-US"/>
              </w:rPr>
              <w:t>min(</w:t>
            </w:r>
            <w:proofErr w:type="gramEnd"/>
            <w:r>
              <w:rPr>
                <w:rFonts w:eastAsia="Batang"/>
                <w:iCs/>
                <w:szCs w:val="20"/>
                <w:lang w:val="en-GB" w:eastAsia="en-US"/>
              </w:rPr>
              <w:t>X,</w:t>
            </w:r>
            <w:r>
              <w:rPr>
                <w:rFonts w:eastAsia="微软雅黑"/>
                <w:iCs/>
                <w:szCs w:val="20"/>
                <w:lang w:val="en-GB" w:eastAsia="en-US"/>
              </w:rPr>
              <w:t xml:space="preserve"> K</w:t>
            </w:r>
            <w:r>
              <w:rPr>
                <w:rFonts w:eastAsia="微软雅黑"/>
                <w:iCs/>
                <w:szCs w:val="20"/>
                <w:vertAlign w:val="subscript"/>
                <w:lang w:val="en-GB" w:eastAsia="en-US"/>
              </w:rPr>
              <w:t>S</w:t>
            </w:r>
            <w:r>
              <w:rPr>
                <w:rFonts w:eastAsia="Batang"/>
                <w:iCs/>
                <w:szCs w:val="20"/>
                <w:lang w:val="en-GB" w:eastAsia="en-US"/>
              </w:rPr>
              <w:t>)}</w:t>
            </w:r>
          </w:p>
          <w:p w:rsidR="009B70BD" w:rsidRDefault="0051047F">
            <w:pPr>
              <w:numPr>
                <w:ilvl w:val="1"/>
                <w:numId w:val="10"/>
              </w:numPr>
              <w:snapToGrid w:val="0"/>
              <w:spacing w:after="0" w:line="240" w:lineRule="exact"/>
              <w:rPr>
                <w:rFonts w:eastAsia="微软雅黑"/>
                <w:iCs/>
                <w:szCs w:val="20"/>
                <w:lang w:val="en-GB" w:eastAsia="en-US"/>
              </w:rPr>
            </w:pPr>
            <w:r>
              <w:rPr>
                <w:rFonts w:eastAsia="微软雅黑"/>
                <w:iCs/>
                <w:szCs w:val="20"/>
                <w:lang w:val="en-GB" w:eastAsia="en-US"/>
              </w:rPr>
              <w:t>FFS (by RAN1# 116bis): The supported value(s) of X (candidates are 2, 4, 6, K</w:t>
            </w:r>
            <w:r>
              <w:rPr>
                <w:rFonts w:eastAsia="微软雅黑"/>
                <w:iCs/>
                <w:szCs w:val="20"/>
                <w:vertAlign w:val="subscript"/>
                <w:lang w:val="en-GB" w:eastAsia="en-US"/>
              </w:rPr>
              <w:t>S</w:t>
            </w:r>
            <w:r>
              <w:rPr>
                <w:rFonts w:eastAsia="微软雅黑"/>
                <w:iCs/>
                <w:szCs w:val="20"/>
                <w:lang w:val="en-GB" w:eastAsia="en-US"/>
              </w:rPr>
              <w:t>)</w:t>
            </w:r>
          </w:p>
          <w:p w:rsidR="009B70BD" w:rsidRDefault="0051047F">
            <w:pPr>
              <w:numPr>
                <w:ilvl w:val="1"/>
                <w:numId w:val="10"/>
              </w:numPr>
              <w:snapToGrid w:val="0"/>
              <w:spacing w:after="0" w:line="240" w:lineRule="exact"/>
              <w:rPr>
                <w:rFonts w:eastAsia="微软雅黑"/>
                <w:iCs/>
                <w:szCs w:val="20"/>
                <w:lang w:val="en-GB" w:eastAsia="en-US"/>
              </w:rPr>
            </w:pPr>
            <w:r>
              <w:rPr>
                <w:rFonts w:eastAsia="微软雅黑"/>
                <w:iCs/>
                <w:szCs w:val="20"/>
                <w:lang w:val="en-GB" w:eastAsia="en-US"/>
              </w:rPr>
              <w:t xml:space="preserve">FFS (by RAN1# 116bis): Whether the value of </w:t>
            </w:r>
            <w:r>
              <w:rPr>
                <w:rFonts w:eastAsia="Batang"/>
                <w:iCs/>
                <w:szCs w:val="20"/>
                <w:lang w:val="en-GB" w:eastAsia="en-US"/>
              </w:rPr>
              <w:t>M</w:t>
            </w:r>
            <w:r>
              <w:rPr>
                <w:rFonts w:eastAsia="微软雅黑"/>
                <w:iCs/>
                <w:szCs w:val="20"/>
                <w:lang w:val="en-GB" w:eastAsia="en-US"/>
              </w:rPr>
              <w:t xml:space="preserve"> is NW-</w:t>
            </w:r>
            <w:r>
              <w:rPr>
                <w:rFonts w:eastAsia="Batang"/>
                <w:iCs/>
                <w:szCs w:val="20"/>
                <w:lang w:val="en-GB" w:eastAsia="en-US"/>
              </w:rPr>
              <w:t>configured via higher-layer (RRC) signalling, or UE-selected (as a part of CSI report), or a combination of the two</w:t>
            </w:r>
          </w:p>
          <w:p w:rsidR="009B70BD" w:rsidRDefault="0051047F">
            <w:pPr>
              <w:numPr>
                <w:ilvl w:val="0"/>
                <w:numId w:val="10"/>
              </w:numPr>
              <w:snapToGrid w:val="0"/>
              <w:spacing w:after="0" w:line="240" w:lineRule="exact"/>
              <w:rPr>
                <w:rFonts w:eastAsia="微软雅黑"/>
                <w:iCs/>
                <w:szCs w:val="20"/>
                <w:lang w:val="en-GB" w:eastAsia="en-US"/>
              </w:rPr>
            </w:pPr>
            <w:r>
              <w:rPr>
                <w:rFonts w:eastAsia="Batang"/>
                <w:iCs/>
                <w:szCs w:val="20"/>
                <w:lang w:val="en-GB" w:eastAsia="en-US"/>
              </w:rPr>
              <w:t>A same legacy codebook (with up to 32 ports) is configured for (associated with) all M “quadruplets”</w:t>
            </w:r>
          </w:p>
          <w:p w:rsidR="009B70BD" w:rsidRDefault="0051047F">
            <w:pPr>
              <w:snapToGrid w:val="0"/>
              <w:spacing w:after="0" w:line="240" w:lineRule="exact"/>
              <w:rPr>
                <w:rFonts w:eastAsia="Batang"/>
                <w:szCs w:val="24"/>
                <w:lang w:val="en-GB" w:eastAsia="en-US"/>
              </w:rPr>
            </w:pPr>
            <w:r>
              <w:rPr>
                <w:rFonts w:eastAsia="Batang"/>
                <w:szCs w:val="24"/>
                <w:lang w:val="en-GB" w:eastAsia="en-US"/>
              </w:rPr>
              <w:t>FFS: detailed UCI design/optimization (e.g. overhead reduction)</w:t>
            </w:r>
          </w:p>
          <w:p w:rsidR="009B70BD" w:rsidRDefault="0051047F">
            <w:pPr>
              <w:snapToGrid w:val="0"/>
              <w:spacing w:after="0" w:line="240" w:lineRule="exact"/>
              <w:rPr>
                <w:rFonts w:eastAsia="Batang"/>
                <w:szCs w:val="24"/>
                <w:lang w:val="en-GB" w:eastAsia="en-US"/>
              </w:rPr>
            </w:pPr>
            <w:r>
              <w:rPr>
                <w:rFonts w:eastAsia="Batang"/>
                <w:szCs w:val="24"/>
                <w:lang w:val="en-GB" w:eastAsia="en-US"/>
              </w:rPr>
              <w:t xml:space="preserve">FFS: Whether </w:t>
            </w:r>
            <w:r>
              <w:rPr>
                <w:rFonts w:eastAsia="Batang"/>
                <w:bCs/>
                <w:iCs/>
                <w:szCs w:val="20"/>
                <w:lang w:val="en-GB" w:eastAsia="en-US"/>
              </w:rPr>
              <w:t>solution to allow CSI reporting for larger number of CSI-RS resources across multiple CSI reports is supported</w:t>
            </w:r>
          </w:p>
          <w:p w:rsidR="009B70BD" w:rsidRDefault="0051047F">
            <w:pPr>
              <w:snapToGrid w:val="0"/>
              <w:spacing w:after="0" w:line="240" w:lineRule="exact"/>
              <w:rPr>
                <w:rFonts w:eastAsia="Batang"/>
                <w:szCs w:val="24"/>
                <w:lang w:val="en-GB" w:eastAsia="en-US"/>
              </w:rPr>
            </w:pPr>
            <w:r>
              <w:rPr>
                <w:rFonts w:eastAsia="Batang"/>
                <w:szCs w:val="24"/>
                <w:lang w:val="en-GB" w:eastAsia="en-US"/>
              </w:rPr>
              <w:t>FFS: whether further restriction(s) on CMR configuration is needed, including relation with IMR</w:t>
            </w:r>
          </w:p>
          <w:p w:rsidR="009B70BD" w:rsidRDefault="0051047F">
            <w:pPr>
              <w:snapToGrid w:val="0"/>
              <w:spacing w:after="0" w:line="240" w:lineRule="exact"/>
              <w:rPr>
                <w:rFonts w:eastAsia="Batang"/>
                <w:iCs/>
                <w:szCs w:val="20"/>
                <w:lang w:val="en-GB" w:eastAsia="en-US"/>
              </w:rPr>
            </w:pPr>
            <w:r>
              <w:rPr>
                <w:rFonts w:eastAsia="Batang"/>
                <w:szCs w:val="24"/>
                <w:lang w:val="en-GB" w:eastAsia="en-US"/>
              </w:rPr>
              <w:t xml:space="preserve">FFS: </w:t>
            </w:r>
            <w:r>
              <w:rPr>
                <w:rFonts w:eastAsia="Batang"/>
                <w:iCs/>
                <w:szCs w:val="20"/>
                <w:lang w:val="en-GB" w:eastAsia="en-US"/>
              </w:rPr>
              <w:t>the packing order of the information of M “quadruplets”, CSI omission rule</w:t>
            </w:r>
          </w:p>
          <w:p w:rsidR="009B70BD" w:rsidRDefault="0051047F">
            <w:pPr>
              <w:snapToGrid w:val="0"/>
              <w:spacing w:after="0" w:line="240" w:lineRule="exact"/>
              <w:jc w:val="left"/>
              <w:rPr>
                <w:rFonts w:eastAsia="Batang"/>
                <w:iCs/>
                <w:szCs w:val="20"/>
                <w:lang w:val="en-GB" w:eastAsia="en-US"/>
              </w:rPr>
            </w:pPr>
            <w:r>
              <w:rPr>
                <w:rFonts w:eastAsia="Batang"/>
                <w:iCs/>
                <w:szCs w:val="20"/>
                <w:lang w:val="en-GB" w:eastAsia="en-US"/>
              </w:rPr>
              <w:t>FFS: Whether all the K CSI-RS resources are associated with a same CSI-RS resource set or not</w:t>
            </w:r>
          </w:p>
          <w:p w:rsidR="009B70BD" w:rsidRDefault="0051047F">
            <w:pPr>
              <w:snapToGrid w:val="0"/>
              <w:spacing w:after="0" w:line="240" w:lineRule="exact"/>
              <w:jc w:val="left"/>
              <w:rPr>
                <w:iCs/>
                <w:color w:val="000000"/>
              </w:rPr>
            </w:pPr>
            <w:r>
              <w:rPr>
                <w:rFonts w:eastAsia="Batang"/>
                <w:iCs/>
                <w:szCs w:val="20"/>
                <w:lang w:val="en-GB" w:eastAsia="en-US"/>
              </w:rPr>
              <w:t xml:space="preserve">FFS: Whether </w:t>
            </w:r>
            <w:r>
              <w:rPr>
                <w:rFonts w:eastAsia="微软雅黑"/>
                <w:iCs/>
                <w:szCs w:val="20"/>
                <w:lang w:val="en-GB" w:eastAsia="en-US"/>
              </w:rPr>
              <w:t>K</w:t>
            </w:r>
            <w:r>
              <w:rPr>
                <w:rFonts w:eastAsia="微软雅黑"/>
                <w:iCs/>
                <w:szCs w:val="20"/>
                <w:vertAlign w:val="subscript"/>
                <w:lang w:val="en-GB" w:eastAsia="en-US"/>
              </w:rPr>
              <w:t>S</w:t>
            </w:r>
            <w:r>
              <w:rPr>
                <w:rFonts w:eastAsia="Batang"/>
                <w:iCs/>
                <w:szCs w:val="20"/>
                <w:lang w:val="en-GB" w:eastAsia="en-US"/>
              </w:rPr>
              <w:t>, maximum # ports per resource, and X depend on codebook type</w:t>
            </w:r>
          </w:p>
        </w:tc>
      </w:tr>
    </w:tbl>
    <w:p w:rsidR="009B70BD" w:rsidRDefault="0051047F">
      <w:pPr>
        <w:tabs>
          <w:tab w:val="left" w:pos="420"/>
        </w:tabs>
        <w:snapToGrid w:val="0"/>
        <w:spacing w:beforeLines="50" w:before="120" w:afterLines="50" w:after="120" w:line="300" w:lineRule="auto"/>
      </w:pPr>
      <w:r>
        <w:t xml:space="preserve">As mentioned in the </w:t>
      </w:r>
      <w:r>
        <w:rPr>
          <w:rFonts w:hint="eastAsia"/>
        </w:rPr>
        <w:t>WID, the enhancement</w:t>
      </w:r>
      <w:r>
        <w:t xml:space="preserve"> of </w:t>
      </w:r>
      <w:r w:rsidR="00102A7D">
        <w:t xml:space="preserve">supporting </w:t>
      </w:r>
      <w:r>
        <w:t>&gt;1 CRI based CSI report</w:t>
      </w:r>
      <w:r>
        <w:rPr>
          <w:rFonts w:hint="eastAsia"/>
        </w:rPr>
        <w:t xml:space="preserve"> is targeting MU-MIMO. For </w:t>
      </w:r>
      <w:r>
        <w:rPr>
          <w:rFonts w:hint="eastAsia"/>
          <w:lang w:val="en-GB" w:eastAsia="en-US"/>
        </w:rPr>
        <w:t>the Rel-19 CRI-based CSI refinement for up to 128 CSI-RS ports,</w:t>
      </w:r>
      <w:r>
        <w:rPr>
          <w:rFonts w:hint="eastAsia"/>
        </w:rPr>
        <w:t xml:space="preserve"> </w:t>
      </w:r>
      <w:proofErr w:type="spellStart"/>
      <w:r>
        <w:rPr>
          <w:rFonts w:hint="eastAsia"/>
        </w:rPr>
        <w:t>eType</w:t>
      </w:r>
      <w:proofErr w:type="spellEnd"/>
      <w:r>
        <w:rPr>
          <w:rFonts w:hint="eastAsia"/>
        </w:rPr>
        <w:t xml:space="preserve">-II codebook should be supported in CRIs-based CSI reporting. </w:t>
      </w:r>
    </w:p>
    <w:p w:rsidR="009B70BD" w:rsidRDefault="0051047F">
      <w:pPr>
        <w:snapToGrid w:val="0"/>
        <w:spacing w:beforeLines="25" w:before="60" w:afterLines="50" w:after="120" w:line="300" w:lineRule="auto"/>
        <w:rPr>
          <w:iCs/>
          <w:color w:val="000000"/>
        </w:rPr>
      </w:pPr>
      <w:r>
        <w:rPr>
          <w:rFonts w:eastAsia="微软雅黑" w:hint="eastAsia"/>
          <w:szCs w:val="20"/>
        </w:rPr>
        <w:t>W</w:t>
      </w:r>
      <w:r>
        <w:rPr>
          <w:rFonts w:eastAsia="微软雅黑"/>
          <w:szCs w:val="20"/>
        </w:rPr>
        <w:t xml:space="preserve">e evaluate </w:t>
      </w:r>
      <w:r>
        <w:rPr>
          <w:rFonts w:eastAsia="微软雅黑" w:hint="eastAsia"/>
          <w:szCs w:val="20"/>
        </w:rPr>
        <w:t>the</w:t>
      </w:r>
      <w:r>
        <w:rPr>
          <w:rFonts w:eastAsia="微软雅黑"/>
          <w:szCs w:val="20"/>
        </w:rPr>
        <w:t xml:space="preserve"> performance </w:t>
      </w:r>
      <w:r>
        <w:rPr>
          <w:rFonts w:eastAsia="微软雅黑" w:hint="eastAsia"/>
          <w:szCs w:val="20"/>
        </w:rPr>
        <w:t xml:space="preserve">of CRIs-based CSI reporting by adopting Type-I and </w:t>
      </w:r>
      <w:proofErr w:type="spellStart"/>
      <w:r>
        <w:rPr>
          <w:rFonts w:eastAsia="微软雅黑" w:hint="eastAsia"/>
          <w:szCs w:val="20"/>
        </w:rPr>
        <w:t>eType</w:t>
      </w:r>
      <w:proofErr w:type="spellEnd"/>
      <w:r>
        <w:rPr>
          <w:rFonts w:eastAsia="微软雅黑" w:hint="eastAsia"/>
          <w:szCs w:val="20"/>
        </w:rPr>
        <w:t>-II codebook</w:t>
      </w:r>
      <w:r w:rsidR="00871F88">
        <w:rPr>
          <w:rFonts w:eastAsia="微软雅黑"/>
          <w:szCs w:val="20"/>
        </w:rPr>
        <w:t>s</w:t>
      </w:r>
      <w:r>
        <w:rPr>
          <w:rFonts w:eastAsia="微软雅黑" w:hint="eastAsia"/>
          <w:szCs w:val="20"/>
        </w:rPr>
        <w:t xml:space="preserve">, where the number of </w:t>
      </w:r>
      <w:r>
        <w:rPr>
          <w:rFonts w:eastAsia="微软雅黑"/>
          <w:szCs w:val="20"/>
        </w:rPr>
        <w:t>the reported CRIs</w:t>
      </w:r>
      <w:r>
        <w:rPr>
          <w:rFonts w:eastAsia="微软雅黑" w:hint="eastAsia"/>
          <w:szCs w:val="20"/>
        </w:rPr>
        <w:t xml:space="preserve"> is set as M = 2. The throughput gain is shown in Figure </w:t>
      </w:r>
      <w:r w:rsidR="00B0551D">
        <w:rPr>
          <w:rFonts w:eastAsia="微软雅黑"/>
          <w:szCs w:val="20"/>
        </w:rPr>
        <w:t>8</w:t>
      </w:r>
      <w:r>
        <w:rPr>
          <w:rFonts w:eastAsia="微软雅黑" w:hint="eastAsia"/>
          <w:szCs w:val="20"/>
        </w:rPr>
        <w:t xml:space="preserve">. </w:t>
      </w:r>
      <w:r>
        <w:rPr>
          <w:rFonts w:eastAsia="微软雅黑"/>
          <w:szCs w:val="20"/>
        </w:rPr>
        <w:t xml:space="preserve">It </w:t>
      </w:r>
      <w:r>
        <w:rPr>
          <w:rFonts w:eastAsia="微软雅黑" w:hint="eastAsia"/>
          <w:szCs w:val="20"/>
        </w:rPr>
        <w:t>is</w:t>
      </w:r>
      <w:r>
        <w:rPr>
          <w:rFonts w:eastAsia="微软雅黑"/>
          <w:szCs w:val="20"/>
        </w:rPr>
        <w:t xml:space="preserve"> observed that</w:t>
      </w:r>
      <w:r>
        <w:rPr>
          <w:rFonts w:hint="eastAsia"/>
        </w:rPr>
        <w:t xml:space="preserve"> </w:t>
      </w:r>
      <w:r>
        <w:rPr>
          <w:rFonts w:hint="eastAsia"/>
          <w:lang w:val="en-GB" w:eastAsia="en-US"/>
        </w:rPr>
        <w:t>Rel-19 CRI-</w:t>
      </w:r>
      <w:r>
        <w:rPr>
          <w:rFonts w:hint="eastAsia"/>
          <w:lang w:val="en-GB" w:eastAsia="en-US"/>
        </w:rPr>
        <w:lastRenderedPageBreak/>
        <w:t>based CSI refinement</w:t>
      </w:r>
      <w:r>
        <w:rPr>
          <w:rFonts w:hint="eastAsia"/>
        </w:rPr>
        <w:t xml:space="preserve"> </w:t>
      </w:r>
      <w:r>
        <w:rPr>
          <w:rFonts w:eastAsia="微软雅黑"/>
          <w:szCs w:val="20"/>
        </w:rPr>
        <w:t xml:space="preserve">can bring an obvious performance </w:t>
      </w:r>
      <w:r>
        <w:rPr>
          <w:rFonts w:eastAsia="微软雅黑" w:hint="eastAsia"/>
          <w:szCs w:val="20"/>
        </w:rPr>
        <w:t>improvement</w:t>
      </w:r>
      <w:r>
        <w:rPr>
          <w:rFonts w:eastAsia="微软雅黑"/>
          <w:szCs w:val="20"/>
        </w:rPr>
        <w:t xml:space="preserve"> compared </w:t>
      </w:r>
      <w:r>
        <w:rPr>
          <w:rFonts w:eastAsia="微软雅黑" w:hint="eastAsia"/>
          <w:szCs w:val="20"/>
        </w:rPr>
        <w:t xml:space="preserve">to legacy CSI based on both Type-I codebook and </w:t>
      </w:r>
      <w:proofErr w:type="spellStart"/>
      <w:r>
        <w:rPr>
          <w:rFonts w:eastAsia="微软雅黑" w:hint="eastAsia"/>
          <w:szCs w:val="20"/>
        </w:rPr>
        <w:t>eType</w:t>
      </w:r>
      <w:proofErr w:type="spellEnd"/>
      <w:r>
        <w:rPr>
          <w:rFonts w:eastAsia="微软雅黑" w:hint="eastAsia"/>
          <w:szCs w:val="20"/>
        </w:rPr>
        <w:t>-II codebook</w:t>
      </w:r>
      <w:r>
        <w:rPr>
          <w:rFonts w:eastAsia="微软雅黑"/>
          <w:szCs w:val="20"/>
        </w:rPr>
        <w:t>, especially for cell-edge UE</w:t>
      </w:r>
      <w:r>
        <w:rPr>
          <w:rFonts w:eastAsia="微软雅黑" w:hint="eastAsia"/>
          <w:szCs w:val="20"/>
        </w:rPr>
        <w:t>s</w:t>
      </w:r>
      <w:r>
        <w:rPr>
          <w:rFonts w:eastAsia="微软雅黑"/>
          <w:szCs w:val="20"/>
        </w:rPr>
        <w:t>.</w:t>
      </w:r>
      <w:r>
        <w:rPr>
          <w:rFonts w:hint="eastAsia"/>
        </w:rPr>
        <w:t xml:space="preserve"> </w:t>
      </w:r>
      <w:r>
        <w:rPr>
          <w:rFonts w:eastAsia="微软雅黑" w:hint="eastAsia"/>
          <w:szCs w:val="20"/>
        </w:rPr>
        <w:t>D</w:t>
      </w:r>
      <w:r>
        <w:rPr>
          <w:rFonts w:eastAsia="微软雅黑"/>
          <w:szCs w:val="20"/>
        </w:rPr>
        <w:t xml:space="preserve">etailed simulation assumptions for </w:t>
      </w:r>
      <w:r>
        <w:rPr>
          <w:rFonts w:eastAsia="微软雅黑" w:hint="eastAsia"/>
          <w:szCs w:val="20"/>
        </w:rPr>
        <w:t>the</w:t>
      </w:r>
      <w:r>
        <w:rPr>
          <w:rFonts w:eastAsia="微软雅黑"/>
          <w:szCs w:val="20"/>
        </w:rPr>
        <w:t xml:space="preserve"> </w:t>
      </w:r>
      <w:r>
        <w:rPr>
          <w:rFonts w:eastAsia="微软雅黑" w:hint="eastAsia"/>
          <w:szCs w:val="20"/>
        </w:rPr>
        <w:t>SLS</w:t>
      </w:r>
      <w:r>
        <w:rPr>
          <w:rFonts w:eastAsia="微软雅黑"/>
          <w:szCs w:val="20"/>
        </w:rPr>
        <w:t xml:space="preserve"> can be found in </w:t>
      </w:r>
      <w:r>
        <w:rPr>
          <w:rFonts w:eastAsia="微软雅黑" w:hint="eastAsia"/>
          <w:szCs w:val="20"/>
        </w:rPr>
        <w:t xml:space="preserve">Table </w:t>
      </w:r>
      <w:r w:rsidR="00C65196">
        <w:rPr>
          <w:rFonts w:eastAsia="微软雅黑"/>
          <w:szCs w:val="20"/>
        </w:rPr>
        <w:t>4</w:t>
      </w:r>
      <w:r>
        <w:rPr>
          <w:rFonts w:eastAsia="微软雅黑" w:hint="eastAsia"/>
          <w:szCs w:val="20"/>
        </w:rPr>
        <w:t xml:space="preserve"> in the Appendix</w:t>
      </w:r>
      <w:r>
        <w:rPr>
          <w:rFonts w:eastAsia="微软雅黑"/>
          <w:szCs w:val="20"/>
        </w:rPr>
        <w:t>.</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690"/>
      </w:tblGrid>
      <w:tr w:rsidR="009B70BD">
        <w:tc>
          <w:tcPr>
            <w:tcW w:w="4788" w:type="dxa"/>
          </w:tcPr>
          <w:p w:rsidR="009B70BD" w:rsidRDefault="0051047F">
            <w:pPr>
              <w:tabs>
                <w:tab w:val="left" w:pos="420"/>
              </w:tabs>
              <w:snapToGrid w:val="0"/>
              <w:spacing w:beforeLines="50" w:before="120" w:afterLines="50" w:after="120" w:line="300" w:lineRule="auto"/>
              <w:jc w:val="center"/>
              <w:rPr>
                <w:iCs/>
                <w:color w:val="000000"/>
              </w:rPr>
            </w:pPr>
            <w:r>
              <w:rPr>
                <w:noProof/>
              </w:rPr>
              <w:drawing>
                <wp:inline distT="0" distB="0" distL="114300" distR="114300">
                  <wp:extent cx="2675890" cy="1613535"/>
                  <wp:effectExtent l="0" t="0" r="10160" b="5715"/>
                  <wp:docPr id="1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4"/>
                          <pic:cNvPicPr>
                            <a:picLocks noChangeAspect="1"/>
                          </pic:cNvPicPr>
                        </pic:nvPicPr>
                        <pic:blipFill>
                          <a:blip r:embed="rId29"/>
                          <a:stretch>
                            <a:fillRect/>
                          </a:stretch>
                        </pic:blipFill>
                        <pic:spPr>
                          <a:xfrm>
                            <a:off x="0" y="0"/>
                            <a:ext cx="2675890" cy="1613535"/>
                          </a:xfrm>
                          <a:prstGeom prst="rect">
                            <a:avLst/>
                          </a:prstGeom>
                          <a:noFill/>
                          <a:ln>
                            <a:noFill/>
                          </a:ln>
                        </pic:spPr>
                      </pic:pic>
                    </a:graphicData>
                  </a:graphic>
                </wp:inline>
              </w:drawing>
            </w:r>
          </w:p>
        </w:tc>
        <w:tc>
          <w:tcPr>
            <w:tcW w:w="4788" w:type="dxa"/>
          </w:tcPr>
          <w:p w:rsidR="009B70BD" w:rsidRDefault="0051047F">
            <w:pPr>
              <w:tabs>
                <w:tab w:val="left" w:pos="420"/>
              </w:tabs>
              <w:snapToGrid w:val="0"/>
              <w:spacing w:beforeLines="50" w:before="120" w:afterLines="50" w:after="120" w:line="300" w:lineRule="auto"/>
              <w:jc w:val="center"/>
              <w:rPr>
                <w:iCs/>
                <w:color w:val="000000"/>
              </w:rPr>
            </w:pPr>
            <w:r>
              <w:rPr>
                <w:noProof/>
              </w:rPr>
              <w:drawing>
                <wp:inline distT="0" distB="0" distL="114300" distR="114300">
                  <wp:extent cx="2711450" cy="1604010"/>
                  <wp:effectExtent l="0" t="0" r="12700" b="15240"/>
                  <wp:docPr id="1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5"/>
                          <pic:cNvPicPr>
                            <a:picLocks noChangeAspect="1"/>
                          </pic:cNvPicPr>
                        </pic:nvPicPr>
                        <pic:blipFill>
                          <a:blip r:embed="rId30"/>
                          <a:stretch>
                            <a:fillRect/>
                          </a:stretch>
                        </pic:blipFill>
                        <pic:spPr>
                          <a:xfrm>
                            <a:off x="0" y="0"/>
                            <a:ext cx="2711450" cy="1604010"/>
                          </a:xfrm>
                          <a:prstGeom prst="rect">
                            <a:avLst/>
                          </a:prstGeom>
                          <a:noFill/>
                          <a:ln>
                            <a:noFill/>
                          </a:ln>
                        </pic:spPr>
                      </pic:pic>
                    </a:graphicData>
                  </a:graphic>
                </wp:inline>
              </w:drawing>
            </w:r>
          </w:p>
        </w:tc>
      </w:tr>
    </w:tbl>
    <w:p w:rsidR="009B70BD" w:rsidRDefault="0051047F">
      <w:pPr>
        <w:tabs>
          <w:tab w:val="left" w:pos="420"/>
        </w:tabs>
        <w:snapToGrid w:val="0"/>
        <w:spacing w:beforeLines="50" w:before="120" w:afterLines="50" w:after="120" w:line="300" w:lineRule="auto"/>
        <w:jc w:val="center"/>
        <w:rPr>
          <w:iCs/>
          <w:color w:val="000000"/>
        </w:rPr>
      </w:pPr>
      <w:r w:rsidRPr="002A74A3">
        <w:rPr>
          <w:b/>
          <w:iCs/>
          <w:color w:val="000000"/>
        </w:rPr>
        <w:t xml:space="preserve">Figure </w:t>
      </w:r>
      <w:r w:rsidR="00B0551D" w:rsidRPr="002A74A3">
        <w:rPr>
          <w:b/>
          <w:iCs/>
          <w:color w:val="000000"/>
        </w:rPr>
        <w:t>8</w:t>
      </w:r>
      <w:r>
        <w:rPr>
          <w:rFonts w:hint="eastAsia"/>
          <w:iCs/>
          <w:color w:val="000000"/>
        </w:rPr>
        <w:t xml:space="preserve"> </w:t>
      </w:r>
      <w:r>
        <w:rPr>
          <w:rFonts w:hint="eastAsia"/>
        </w:rPr>
        <w:t>DL throughput gain for</w:t>
      </w:r>
      <w:r>
        <w:rPr>
          <w:rFonts w:hint="eastAsia"/>
          <w:lang w:val="en-GB" w:eastAsia="en-US"/>
        </w:rPr>
        <w:t xml:space="preserve"> Rel-19 CRI-based CSI refinement</w:t>
      </w:r>
      <w:r>
        <w:t>:</w:t>
      </w:r>
      <w:r>
        <w:rPr>
          <w:rFonts w:hint="eastAsia"/>
        </w:rPr>
        <w:t xml:space="preserve"> M=2, X=4 and Ks=4</w:t>
      </w:r>
    </w:p>
    <w:p w:rsidR="009B70BD" w:rsidRDefault="0051047F">
      <w:pPr>
        <w:snapToGrid w:val="0"/>
        <w:spacing w:beforeLines="30" w:before="72" w:afterLines="30" w:after="72" w:line="300" w:lineRule="auto"/>
        <w:textAlignment w:val="center"/>
        <w:rPr>
          <w:i/>
        </w:rPr>
      </w:pPr>
      <w:r>
        <w:rPr>
          <w:b/>
          <w:i/>
        </w:rPr>
        <w:t xml:space="preserve">Proposal </w:t>
      </w:r>
      <w:r w:rsidR="00B0551D">
        <w:rPr>
          <w:b/>
          <w:i/>
        </w:rPr>
        <w:t>13</w:t>
      </w:r>
      <w:r>
        <w:rPr>
          <w:rFonts w:hint="eastAsia"/>
          <w:b/>
          <w:i/>
        </w:rPr>
        <w:t xml:space="preserve">: </w:t>
      </w:r>
      <w:r>
        <w:rPr>
          <w:rFonts w:hint="eastAsia"/>
          <w:i/>
        </w:rPr>
        <w:t xml:space="preserve">For </w:t>
      </w:r>
      <w:r>
        <w:rPr>
          <w:rFonts w:hint="eastAsia"/>
          <w:i/>
          <w:lang w:val="en-GB" w:eastAsia="en-US"/>
        </w:rPr>
        <w:t>the Rel-19 CRI-based CSI refinement for up to 128 CSI-RS ports, regarding the supported codebook(s) for calculating CQI/PMI/RI on each of the M CRI(s)</w:t>
      </w:r>
      <w:r>
        <w:rPr>
          <w:rFonts w:hint="eastAsia"/>
          <w:i/>
        </w:rPr>
        <w:t>, support Alt2</w:t>
      </w:r>
      <w:r>
        <w:rPr>
          <w:i/>
        </w:rPr>
        <w:t>.</w:t>
      </w:r>
    </w:p>
    <w:p w:rsidR="009B70BD" w:rsidRDefault="0051047F">
      <w:pPr>
        <w:numPr>
          <w:ilvl w:val="0"/>
          <w:numId w:val="13"/>
        </w:numPr>
        <w:snapToGrid w:val="0"/>
        <w:spacing w:beforeLines="50" w:before="120" w:afterLines="50" w:after="120" w:line="300" w:lineRule="auto"/>
        <w:rPr>
          <w:iCs/>
          <w:color w:val="000000"/>
        </w:rPr>
      </w:pPr>
      <w:r>
        <w:rPr>
          <w:rFonts w:hint="eastAsia"/>
          <w:i/>
        </w:rPr>
        <w:t xml:space="preserve">Alt2: </w:t>
      </w:r>
      <w:r>
        <w:rPr>
          <w:rFonts w:hint="eastAsia"/>
          <w:i/>
          <w:lang w:val="en-GB" w:eastAsia="en-US"/>
        </w:rPr>
        <w:t xml:space="preserve">Rel-15 Type-I Single Panel codebook and the Rel-16 </w:t>
      </w:r>
      <w:proofErr w:type="spellStart"/>
      <w:r>
        <w:rPr>
          <w:rFonts w:hint="eastAsia"/>
          <w:i/>
          <w:lang w:val="en-GB" w:eastAsia="en-US"/>
        </w:rPr>
        <w:t>eType</w:t>
      </w:r>
      <w:proofErr w:type="spellEnd"/>
      <w:r>
        <w:rPr>
          <w:rFonts w:hint="eastAsia"/>
          <w:i/>
          <w:lang w:val="en-GB" w:eastAsia="en-US"/>
        </w:rPr>
        <w:t xml:space="preserve">-II </w:t>
      </w:r>
      <w:proofErr w:type="spellStart"/>
      <w:r>
        <w:rPr>
          <w:rFonts w:hint="eastAsia"/>
          <w:i/>
          <w:lang w:val="en-GB" w:eastAsia="en-US"/>
        </w:rPr>
        <w:t>codeboo</w:t>
      </w:r>
      <w:proofErr w:type="spellEnd"/>
      <w:r>
        <w:rPr>
          <w:rFonts w:hint="eastAsia"/>
          <w:i/>
        </w:rPr>
        <w:t>k;</w:t>
      </w:r>
    </w:p>
    <w:p w:rsidR="009B70BD" w:rsidRDefault="0051047F">
      <w:pPr>
        <w:tabs>
          <w:tab w:val="left" w:pos="420"/>
        </w:tabs>
        <w:snapToGrid w:val="0"/>
        <w:spacing w:beforeLines="50" w:before="120" w:afterLines="50" w:after="120" w:line="300" w:lineRule="auto"/>
        <w:rPr>
          <w:iCs/>
          <w:color w:val="000000"/>
        </w:rPr>
      </w:pPr>
      <w:r>
        <w:rPr>
          <w:szCs w:val="20"/>
        </w:rPr>
        <w:t xml:space="preserve">Considering the signaling overhead and computation complexity at UE side, X = 2 for </w:t>
      </w:r>
      <w:proofErr w:type="spellStart"/>
      <w:r>
        <w:rPr>
          <w:szCs w:val="20"/>
        </w:rPr>
        <w:t>eType</w:t>
      </w:r>
      <w:proofErr w:type="spellEnd"/>
      <w:r>
        <w:rPr>
          <w:szCs w:val="20"/>
        </w:rPr>
        <w:t xml:space="preserve">-II codebook can be considered as a starting point and </w:t>
      </w:r>
      <w:r>
        <w:rPr>
          <w:rFonts w:eastAsia="等线"/>
          <w:szCs w:val="20"/>
        </w:rPr>
        <w:t>X = 4 for Type-I codebook can be supported</w:t>
      </w:r>
      <w:r>
        <w:rPr>
          <w:rFonts w:eastAsia="等线" w:hint="eastAsia"/>
          <w:szCs w:val="20"/>
        </w:rPr>
        <w:t xml:space="preserve">. With X &gt; 1, it is beneficial for </w:t>
      </w:r>
      <w:proofErr w:type="spellStart"/>
      <w:r>
        <w:rPr>
          <w:rFonts w:eastAsia="等线" w:hint="eastAsia"/>
          <w:szCs w:val="20"/>
        </w:rPr>
        <w:t>gNB</w:t>
      </w:r>
      <w:proofErr w:type="spellEnd"/>
      <w:r>
        <w:rPr>
          <w:rFonts w:eastAsia="等线" w:hint="eastAsia"/>
          <w:szCs w:val="20"/>
        </w:rPr>
        <w:t xml:space="preserve"> to schedule the</w:t>
      </w:r>
      <w:r w:rsidR="0024457F">
        <w:rPr>
          <w:rFonts w:eastAsia="等线"/>
          <w:szCs w:val="20"/>
        </w:rPr>
        <w:t xml:space="preserve"> analog</w:t>
      </w:r>
      <w:r>
        <w:rPr>
          <w:rFonts w:eastAsia="等线" w:hint="eastAsia"/>
          <w:szCs w:val="20"/>
        </w:rPr>
        <w:t xml:space="preserve"> beam for all the serving UEs and</w:t>
      </w:r>
      <w:r w:rsidR="00A94464">
        <w:rPr>
          <w:rFonts w:eastAsia="等线"/>
          <w:szCs w:val="20"/>
        </w:rPr>
        <w:t xml:space="preserve"> perform</w:t>
      </w:r>
      <w:r>
        <w:rPr>
          <w:rFonts w:eastAsia="等线" w:hint="eastAsia"/>
          <w:szCs w:val="20"/>
        </w:rPr>
        <w:t xml:space="preserve"> MU-MIMO </w:t>
      </w:r>
      <w:r w:rsidR="00A94464">
        <w:rPr>
          <w:rFonts w:eastAsia="等线"/>
          <w:szCs w:val="20"/>
        </w:rPr>
        <w:t>under a same analog beam to improve the throughput</w:t>
      </w:r>
      <w:r>
        <w:rPr>
          <w:rFonts w:eastAsia="等线" w:hint="eastAsia"/>
          <w:szCs w:val="20"/>
        </w:rPr>
        <w:t>. Regarding the parameter M, it should be configured by the network.</w:t>
      </w:r>
    </w:p>
    <w:p w:rsidR="009B70BD" w:rsidRDefault="0051047F">
      <w:pPr>
        <w:snapToGrid w:val="0"/>
        <w:spacing w:beforeLines="30" w:before="72" w:afterLines="30" w:after="72" w:line="300" w:lineRule="auto"/>
        <w:textAlignment w:val="center"/>
        <w:rPr>
          <w:i/>
        </w:rPr>
      </w:pPr>
      <w:r>
        <w:rPr>
          <w:b/>
          <w:i/>
        </w:rPr>
        <w:t xml:space="preserve">Proposal </w:t>
      </w:r>
      <w:r w:rsidR="00B0551D">
        <w:rPr>
          <w:b/>
          <w:i/>
        </w:rPr>
        <w:t>14</w:t>
      </w:r>
      <w:r>
        <w:rPr>
          <w:rFonts w:hint="eastAsia"/>
          <w:b/>
          <w:i/>
        </w:rPr>
        <w:t xml:space="preserve">: </w:t>
      </w:r>
      <w:r>
        <w:rPr>
          <w:rFonts w:hint="eastAsia"/>
          <w:i/>
        </w:rPr>
        <w:t>Regarding Rel-19 CRIs-based CSI reporting</w:t>
      </w:r>
      <w:r>
        <w:rPr>
          <w:rFonts w:hint="eastAsia"/>
          <w:i/>
          <w:lang w:val="en-GB" w:eastAsia="en-US"/>
        </w:rPr>
        <w:t xml:space="preserve">, </w:t>
      </w:r>
      <w:r>
        <w:rPr>
          <w:i/>
        </w:rPr>
        <w:t>support:</w:t>
      </w:r>
    </w:p>
    <w:p w:rsidR="009B70BD" w:rsidRDefault="0051047F">
      <w:pPr>
        <w:numPr>
          <w:ilvl w:val="0"/>
          <w:numId w:val="13"/>
        </w:numPr>
        <w:snapToGrid w:val="0"/>
        <w:spacing w:beforeLines="50" w:before="120" w:afterLines="50" w:after="120" w:line="300" w:lineRule="auto"/>
        <w:rPr>
          <w:i/>
        </w:rPr>
      </w:pPr>
      <w:r>
        <w:rPr>
          <w:rFonts w:hint="eastAsia"/>
          <w:i/>
          <w:lang w:val="en-GB" w:eastAsia="en-US"/>
        </w:rPr>
        <w:t xml:space="preserve">X = 2 for Rel-16 </w:t>
      </w:r>
      <w:proofErr w:type="spellStart"/>
      <w:r>
        <w:rPr>
          <w:rFonts w:hint="eastAsia"/>
          <w:i/>
          <w:lang w:val="en-GB" w:eastAsia="en-US"/>
        </w:rPr>
        <w:t>eType</w:t>
      </w:r>
      <w:proofErr w:type="spellEnd"/>
      <w:r>
        <w:rPr>
          <w:rFonts w:hint="eastAsia"/>
          <w:i/>
          <w:lang w:val="en-GB" w:eastAsia="en-US"/>
        </w:rPr>
        <w:t xml:space="preserve">-II </w:t>
      </w:r>
      <w:proofErr w:type="spellStart"/>
      <w:r>
        <w:rPr>
          <w:rFonts w:hint="eastAsia"/>
          <w:i/>
          <w:lang w:val="en-GB" w:eastAsia="en-US"/>
        </w:rPr>
        <w:t>codeboo</w:t>
      </w:r>
      <w:proofErr w:type="spellEnd"/>
      <w:r>
        <w:rPr>
          <w:rFonts w:hint="eastAsia"/>
          <w:i/>
        </w:rPr>
        <w:t>k</w:t>
      </w:r>
      <w:r>
        <w:rPr>
          <w:i/>
        </w:rPr>
        <w:t>;</w:t>
      </w:r>
    </w:p>
    <w:p w:rsidR="009B70BD" w:rsidRDefault="0051047F">
      <w:pPr>
        <w:numPr>
          <w:ilvl w:val="0"/>
          <w:numId w:val="13"/>
        </w:numPr>
        <w:snapToGrid w:val="0"/>
        <w:spacing w:beforeLines="50" w:before="120" w:afterLines="50" w:after="120" w:line="300" w:lineRule="auto"/>
        <w:rPr>
          <w:i/>
        </w:rPr>
      </w:pPr>
      <w:r>
        <w:rPr>
          <w:i/>
        </w:rPr>
        <w:t>X = 4 for Rel-15 SP Type-I codebook;</w:t>
      </w:r>
    </w:p>
    <w:p w:rsidR="009B70BD" w:rsidRDefault="0051047F">
      <w:pPr>
        <w:numPr>
          <w:ilvl w:val="0"/>
          <w:numId w:val="13"/>
        </w:numPr>
        <w:snapToGrid w:val="0"/>
        <w:spacing w:beforeLines="50" w:before="120" w:afterLines="50" w:after="120" w:line="300" w:lineRule="auto"/>
        <w:rPr>
          <w:iCs/>
          <w:color w:val="000000"/>
        </w:rPr>
      </w:pPr>
      <w:r>
        <w:rPr>
          <w:rFonts w:hint="eastAsia"/>
          <w:i/>
        </w:rPr>
        <w:t>M is configured by the network</w:t>
      </w:r>
      <w:r>
        <w:rPr>
          <w:i/>
        </w:rPr>
        <w:t>.</w:t>
      </w:r>
    </w:p>
    <w:p w:rsidR="009156C4" w:rsidRDefault="00F558C8">
      <w:pPr>
        <w:spacing w:before="120"/>
        <w:rPr>
          <w:iCs/>
          <w:color w:val="000000"/>
        </w:rPr>
      </w:pPr>
      <w:r>
        <w:rPr>
          <w:rFonts w:eastAsia="微软雅黑" w:hint="eastAsia"/>
          <w:szCs w:val="20"/>
        </w:rPr>
        <w:t>S</w:t>
      </w:r>
      <w:r>
        <w:rPr>
          <w:rFonts w:eastAsia="微软雅黑"/>
          <w:szCs w:val="20"/>
        </w:rPr>
        <w:t>ince more than one CSI reports are involved in CRIs-based CSI reporting, it is necessary to introduce CSI compression among these CSI reports. For example, differential CQI reporting across different CSI reports can be applied to reduce the reporting overhead.</w:t>
      </w:r>
    </w:p>
    <w:p w:rsidR="009156C4" w:rsidRDefault="009156C4" w:rsidP="009156C4">
      <w:pPr>
        <w:snapToGrid w:val="0"/>
        <w:spacing w:beforeLines="30" w:before="72" w:afterLines="30" w:after="72" w:line="300" w:lineRule="auto"/>
        <w:textAlignment w:val="center"/>
        <w:rPr>
          <w:i/>
          <w:iCs/>
        </w:rPr>
      </w:pPr>
      <w:r>
        <w:rPr>
          <w:b/>
          <w:i/>
        </w:rPr>
        <w:t>Proposal 15</w:t>
      </w:r>
      <w:r>
        <w:rPr>
          <w:rFonts w:hint="eastAsia"/>
          <w:b/>
          <w:i/>
        </w:rPr>
        <w:t xml:space="preserve">: </w:t>
      </w:r>
      <w:r>
        <w:rPr>
          <w:rFonts w:hint="eastAsia"/>
          <w:i/>
        </w:rPr>
        <w:t xml:space="preserve">Regarding Rel-19 CRIs-based CSI reporting, </w:t>
      </w:r>
      <w:r>
        <w:rPr>
          <w:i/>
        </w:rPr>
        <w:t>support the following overhead reduction scheme</w:t>
      </w:r>
      <w:r>
        <w:rPr>
          <w:rFonts w:hint="eastAsia"/>
          <w:i/>
        </w:rPr>
        <w:t>:</w:t>
      </w:r>
    </w:p>
    <w:p w:rsidR="009156C4" w:rsidRDefault="009156C4" w:rsidP="002A74A3">
      <w:pPr>
        <w:numPr>
          <w:ilvl w:val="0"/>
          <w:numId w:val="13"/>
        </w:numPr>
        <w:snapToGrid w:val="0"/>
        <w:spacing w:beforeLines="50" w:before="120" w:afterLines="50" w:after="120" w:line="300" w:lineRule="auto"/>
        <w:rPr>
          <w:iCs/>
          <w:color w:val="000000"/>
        </w:rPr>
      </w:pPr>
      <w:r>
        <w:rPr>
          <w:rFonts w:hint="eastAsia"/>
          <w:i/>
          <w:iCs/>
        </w:rPr>
        <w:t>Differential</w:t>
      </w:r>
      <w:r>
        <w:rPr>
          <w:i/>
          <w:iCs/>
        </w:rPr>
        <w:t xml:space="preserve"> wideband</w:t>
      </w:r>
      <w:r>
        <w:rPr>
          <w:rFonts w:hint="eastAsia"/>
          <w:i/>
          <w:iCs/>
        </w:rPr>
        <w:t xml:space="preserve"> </w:t>
      </w:r>
      <w:r>
        <w:rPr>
          <w:rFonts w:hint="eastAsia"/>
          <w:i/>
          <w:iCs/>
          <w:szCs w:val="20"/>
        </w:rPr>
        <w:t>CQI reporting across different CRIs.</w:t>
      </w:r>
    </w:p>
    <w:p w:rsidR="009B70BD" w:rsidRDefault="0051047F">
      <w:pPr>
        <w:spacing w:before="120"/>
        <w:rPr>
          <w:iCs/>
          <w:color w:val="000000"/>
        </w:rPr>
      </w:pPr>
      <w:r>
        <w:rPr>
          <w:rFonts w:hint="eastAsia"/>
          <w:iCs/>
          <w:color w:val="000000"/>
        </w:rPr>
        <w:t xml:space="preserve">Moreover, </w:t>
      </w:r>
      <w:r w:rsidR="009156C4">
        <w:rPr>
          <w:iCs/>
          <w:color w:val="000000"/>
        </w:rPr>
        <w:t xml:space="preserve">for Type-I codebook, </w:t>
      </w:r>
      <w:r>
        <w:rPr>
          <w:rFonts w:hint="eastAsia"/>
          <w:iCs/>
          <w:color w:val="000000"/>
        </w:rPr>
        <w:t xml:space="preserve">we count the </w:t>
      </w:r>
      <w:r w:rsidR="009156C4">
        <w:rPr>
          <w:iCs/>
          <w:color w:val="000000"/>
        </w:rPr>
        <w:t xml:space="preserve">offset of </w:t>
      </w:r>
      <w:r>
        <w:rPr>
          <w:rFonts w:hint="eastAsia"/>
          <w:i/>
          <w:color w:val="000000"/>
        </w:rPr>
        <w:t>i</w:t>
      </w:r>
      <w:r>
        <w:rPr>
          <w:rFonts w:hint="eastAsia"/>
          <w:i/>
          <w:color w:val="000000"/>
          <w:vertAlign w:val="subscript"/>
        </w:rPr>
        <w:t>1,1</w:t>
      </w:r>
      <w:r>
        <w:rPr>
          <w:rFonts w:hint="eastAsia"/>
          <w:iCs/>
          <w:color w:val="000000"/>
        </w:rPr>
        <w:t xml:space="preserve"> and </w:t>
      </w:r>
      <w:r>
        <w:rPr>
          <w:rFonts w:hint="eastAsia"/>
          <w:i/>
          <w:color w:val="000000"/>
        </w:rPr>
        <w:t>i</w:t>
      </w:r>
      <w:r>
        <w:rPr>
          <w:rFonts w:hint="eastAsia"/>
          <w:i/>
          <w:color w:val="000000"/>
          <w:vertAlign w:val="subscript"/>
        </w:rPr>
        <w:t>1,2</w:t>
      </w:r>
      <w:r>
        <w:rPr>
          <w:rFonts w:hint="eastAsia"/>
          <w:iCs/>
          <w:color w:val="000000"/>
        </w:rPr>
        <w:t xml:space="preserve"> </w:t>
      </w:r>
      <w:r w:rsidR="009156C4">
        <w:rPr>
          <w:iCs/>
          <w:color w:val="000000"/>
        </w:rPr>
        <w:t>among different CRIs, the</w:t>
      </w:r>
      <w:r w:rsidR="009156C4">
        <w:rPr>
          <w:rFonts w:hint="eastAsia"/>
          <w:iCs/>
          <w:color w:val="000000"/>
        </w:rPr>
        <w:t xml:space="preserve"> </w:t>
      </w:r>
      <w:r>
        <w:rPr>
          <w:rFonts w:hint="eastAsia"/>
          <w:iCs/>
          <w:color w:val="000000"/>
        </w:rPr>
        <w:t>cumulative distribution function</w:t>
      </w:r>
      <w:r w:rsidR="00CA0AFF">
        <w:rPr>
          <w:iCs/>
          <w:color w:val="000000"/>
        </w:rPr>
        <w:t xml:space="preserve"> (CDF)</w:t>
      </w:r>
      <w:r>
        <w:rPr>
          <w:rFonts w:hint="eastAsia"/>
          <w:iCs/>
          <w:color w:val="000000"/>
        </w:rPr>
        <w:t xml:space="preserve"> </w:t>
      </w:r>
      <w:r w:rsidR="009156C4">
        <w:rPr>
          <w:iCs/>
          <w:color w:val="000000"/>
        </w:rPr>
        <w:t>of the offset is shown in</w:t>
      </w:r>
      <w:r>
        <w:rPr>
          <w:rFonts w:hint="eastAsia"/>
          <w:iCs/>
          <w:color w:val="000000"/>
        </w:rPr>
        <w:t xml:space="preserve"> Figure</w:t>
      </w:r>
      <w:r w:rsidR="009156C4">
        <w:rPr>
          <w:iCs/>
          <w:color w:val="000000"/>
        </w:rPr>
        <w:t xml:space="preserve"> </w:t>
      </w:r>
      <w:r>
        <w:rPr>
          <w:rFonts w:hint="eastAsia"/>
          <w:iCs/>
          <w:color w:val="000000"/>
        </w:rPr>
        <w:t xml:space="preserve">9. </w:t>
      </w:r>
      <w:r w:rsidR="009156C4">
        <w:rPr>
          <w:iCs/>
          <w:color w:val="000000"/>
        </w:rPr>
        <w:t>Furthermore</w:t>
      </w:r>
      <w:r>
        <w:rPr>
          <w:rFonts w:hint="eastAsia"/>
          <w:iCs/>
          <w:color w:val="000000"/>
        </w:rPr>
        <w:t xml:space="preserve">, we show the distribution of SD </w:t>
      </w:r>
      <w:r w:rsidR="007E5E5C">
        <w:rPr>
          <w:iCs/>
          <w:color w:val="000000"/>
        </w:rPr>
        <w:t>bases</w:t>
      </w:r>
      <w:r>
        <w:rPr>
          <w:rFonts w:hint="eastAsia"/>
          <w:iCs/>
          <w:color w:val="000000"/>
        </w:rPr>
        <w:t xml:space="preserve"> and FD </w:t>
      </w:r>
      <w:r w:rsidR="007E5E5C">
        <w:rPr>
          <w:iCs/>
          <w:color w:val="000000"/>
        </w:rPr>
        <w:t>bases</w:t>
      </w:r>
      <w:r>
        <w:rPr>
          <w:rFonts w:hint="eastAsia"/>
          <w:iCs/>
          <w:color w:val="000000"/>
        </w:rPr>
        <w:t xml:space="preserve"> for different CRIs </w:t>
      </w:r>
      <w:r w:rsidR="007E5E5C">
        <w:rPr>
          <w:iCs/>
          <w:color w:val="000000"/>
        </w:rPr>
        <w:t>for</w:t>
      </w:r>
      <w:r w:rsidR="007E5E5C">
        <w:rPr>
          <w:rFonts w:hint="eastAsia"/>
          <w:iCs/>
          <w:color w:val="000000"/>
        </w:rPr>
        <w:t xml:space="preserve"> </w:t>
      </w:r>
      <w:proofErr w:type="spellStart"/>
      <w:r>
        <w:rPr>
          <w:rFonts w:hint="eastAsia"/>
          <w:iCs/>
          <w:color w:val="000000"/>
        </w:rPr>
        <w:t>eType</w:t>
      </w:r>
      <w:proofErr w:type="spellEnd"/>
      <w:r>
        <w:rPr>
          <w:rFonts w:hint="eastAsia"/>
          <w:iCs/>
          <w:color w:val="000000"/>
        </w:rPr>
        <w:t xml:space="preserve">-II codebook in Figure </w:t>
      </w:r>
      <w:r w:rsidR="007E5E5C">
        <w:rPr>
          <w:iCs/>
          <w:color w:val="000000"/>
        </w:rPr>
        <w:t>10</w:t>
      </w:r>
      <w:r>
        <w:rPr>
          <w:rFonts w:hint="eastAsia"/>
          <w:iCs/>
          <w:color w:val="000000"/>
        </w:rPr>
        <w:t xml:space="preserve">. </w:t>
      </w:r>
      <w:r w:rsidR="007E5E5C">
        <w:rPr>
          <w:iCs/>
          <w:color w:val="000000"/>
        </w:rPr>
        <w:t xml:space="preserve">It is observed that the </w:t>
      </w:r>
      <w:r w:rsidR="007E5E5C">
        <w:rPr>
          <w:rFonts w:hint="eastAsia"/>
          <w:i/>
          <w:color w:val="000000"/>
        </w:rPr>
        <w:t>i</w:t>
      </w:r>
      <w:r w:rsidR="007E5E5C">
        <w:rPr>
          <w:rFonts w:hint="eastAsia"/>
          <w:i/>
          <w:color w:val="000000"/>
          <w:vertAlign w:val="subscript"/>
        </w:rPr>
        <w:t>1,1</w:t>
      </w:r>
      <w:r w:rsidR="007E5E5C" w:rsidRPr="007E5E5C">
        <w:rPr>
          <w:rFonts w:hint="eastAsia"/>
          <w:iCs/>
          <w:color w:val="000000"/>
        </w:rPr>
        <w:t xml:space="preserve"> </w:t>
      </w:r>
      <w:r w:rsidR="007E5E5C">
        <w:rPr>
          <w:rFonts w:hint="eastAsia"/>
          <w:iCs/>
          <w:color w:val="000000"/>
        </w:rPr>
        <w:t xml:space="preserve">and </w:t>
      </w:r>
      <w:r w:rsidR="007E5E5C">
        <w:rPr>
          <w:rFonts w:hint="eastAsia"/>
          <w:i/>
          <w:color w:val="000000"/>
        </w:rPr>
        <w:t>i</w:t>
      </w:r>
      <w:r w:rsidR="007E5E5C">
        <w:rPr>
          <w:rFonts w:hint="eastAsia"/>
          <w:i/>
          <w:color w:val="000000"/>
          <w:vertAlign w:val="subscript"/>
        </w:rPr>
        <w:t>1,2</w:t>
      </w:r>
      <w:r w:rsidR="007E5E5C">
        <w:rPr>
          <w:i/>
          <w:color w:val="000000"/>
        </w:rPr>
        <w:t xml:space="preserve"> </w:t>
      </w:r>
      <w:r w:rsidR="007E5E5C">
        <w:rPr>
          <w:color w:val="000000"/>
        </w:rPr>
        <w:t>for type-I codebook and the SD/FD bases for Type-II codebook are highly correlated across different CRIs.</w:t>
      </w:r>
      <w:r w:rsidR="003F110E">
        <w:rPr>
          <w:color w:val="000000"/>
        </w:rPr>
        <w:t xml:space="preserve"> </w:t>
      </w:r>
      <w:r w:rsidR="003F110E">
        <w:rPr>
          <w:rFonts w:hint="eastAsia"/>
          <w:color w:val="000000"/>
        </w:rPr>
        <w:t>Then</w:t>
      </w:r>
      <w:r w:rsidR="003F110E">
        <w:rPr>
          <w:color w:val="000000"/>
        </w:rPr>
        <w:t xml:space="preserve"> some further overhead reduction can be considered base on this feature.</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9B70BD">
        <w:tc>
          <w:tcPr>
            <w:tcW w:w="4788" w:type="dxa"/>
          </w:tcPr>
          <w:p w:rsidR="009B70BD" w:rsidRDefault="0051047F">
            <w:pPr>
              <w:tabs>
                <w:tab w:val="left" w:pos="420"/>
              </w:tabs>
              <w:snapToGrid w:val="0"/>
              <w:spacing w:beforeLines="50" w:before="120" w:afterLines="50" w:after="120" w:line="300" w:lineRule="auto"/>
              <w:jc w:val="center"/>
              <w:rPr>
                <w:iCs/>
                <w:color w:val="000000"/>
              </w:rPr>
            </w:pPr>
            <w:r>
              <w:rPr>
                <w:noProof/>
              </w:rPr>
              <w:lastRenderedPageBreak/>
              <w:drawing>
                <wp:inline distT="0" distB="0" distL="114300" distR="114300">
                  <wp:extent cx="2345690" cy="1759585"/>
                  <wp:effectExtent l="0" t="0" r="16510" b="12065"/>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
                          <pic:cNvPicPr>
                            <a:picLocks noChangeAspect="1"/>
                          </pic:cNvPicPr>
                        </pic:nvPicPr>
                        <pic:blipFill>
                          <a:blip r:embed="rId31"/>
                          <a:stretch>
                            <a:fillRect/>
                          </a:stretch>
                        </pic:blipFill>
                        <pic:spPr>
                          <a:xfrm>
                            <a:off x="0" y="0"/>
                            <a:ext cx="2345690" cy="1759585"/>
                          </a:xfrm>
                          <a:prstGeom prst="rect">
                            <a:avLst/>
                          </a:prstGeom>
                          <a:noFill/>
                          <a:ln>
                            <a:noFill/>
                          </a:ln>
                        </pic:spPr>
                      </pic:pic>
                    </a:graphicData>
                  </a:graphic>
                </wp:inline>
              </w:drawing>
            </w:r>
          </w:p>
        </w:tc>
        <w:tc>
          <w:tcPr>
            <w:tcW w:w="4788" w:type="dxa"/>
          </w:tcPr>
          <w:p w:rsidR="009B70BD" w:rsidRDefault="0051047F">
            <w:pPr>
              <w:tabs>
                <w:tab w:val="left" w:pos="420"/>
              </w:tabs>
              <w:snapToGrid w:val="0"/>
              <w:spacing w:beforeLines="50" w:before="120" w:afterLines="50" w:after="120" w:line="300" w:lineRule="auto"/>
              <w:jc w:val="center"/>
              <w:rPr>
                <w:iCs/>
                <w:color w:val="000000"/>
              </w:rPr>
            </w:pPr>
            <w:r>
              <w:rPr>
                <w:noProof/>
              </w:rPr>
              <w:drawing>
                <wp:inline distT="0" distB="0" distL="114300" distR="114300">
                  <wp:extent cx="2345690" cy="1759585"/>
                  <wp:effectExtent l="0" t="0" r="16510" b="1206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2"/>
                          <a:stretch>
                            <a:fillRect/>
                          </a:stretch>
                        </pic:blipFill>
                        <pic:spPr>
                          <a:xfrm>
                            <a:off x="0" y="0"/>
                            <a:ext cx="2345690" cy="1759585"/>
                          </a:xfrm>
                          <a:prstGeom prst="rect">
                            <a:avLst/>
                          </a:prstGeom>
                          <a:noFill/>
                          <a:ln>
                            <a:noFill/>
                          </a:ln>
                        </pic:spPr>
                      </pic:pic>
                    </a:graphicData>
                  </a:graphic>
                </wp:inline>
              </w:drawing>
            </w:r>
          </w:p>
        </w:tc>
      </w:tr>
    </w:tbl>
    <w:p w:rsidR="009B70BD" w:rsidRDefault="0051047F">
      <w:pPr>
        <w:tabs>
          <w:tab w:val="left" w:pos="420"/>
        </w:tabs>
        <w:snapToGrid w:val="0"/>
        <w:spacing w:beforeLines="50" w:before="120" w:afterLines="50" w:after="120" w:line="300" w:lineRule="auto"/>
        <w:jc w:val="center"/>
        <w:rPr>
          <w:b/>
          <w:bCs/>
          <w:i/>
          <w:iCs/>
        </w:rPr>
      </w:pPr>
      <w:r w:rsidRPr="002A74A3">
        <w:rPr>
          <w:b/>
          <w:iCs/>
          <w:color w:val="000000"/>
        </w:rPr>
        <w:t>Figure 9</w:t>
      </w:r>
      <w:r>
        <w:rPr>
          <w:rFonts w:hint="eastAsia"/>
          <w:iCs/>
          <w:color w:val="000000"/>
        </w:rPr>
        <w:t xml:space="preserve"> CDF </w:t>
      </w:r>
      <w:r w:rsidR="009156C4">
        <w:rPr>
          <w:iCs/>
          <w:color w:val="000000"/>
        </w:rPr>
        <w:t>of</w:t>
      </w:r>
      <w:r w:rsidR="009156C4">
        <w:rPr>
          <w:rFonts w:hint="eastAsia"/>
          <w:iCs/>
          <w:color w:val="000000"/>
        </w:rPr>
        <w:t xml:space="preserve"> </w:t>
      </w:r>
      <w:r>
        <w:rPr>
          <w:rFonts w:hint="eastAsia"/>
          <w:iCs/>
          <w:color w:val="000000"/>
        </w:rPr>
        <w:t>the offsets of i</w:t>
      </w:r>
      <w:r>
        <w:rPr>
          <w:rFonts w:hint="eastAsia"/>
          <w:iCs/>
          <w:color w:val="000000"/>
          <w:vertAlign w:val="subscript"/>
        </w:rPr>
        <w:t>1,1</w:t>
      </w:r>
      <w:r>
        <w:rPr>
          <w:rFonts w:hint="eastAsia"/>
          <w:iCs/>
          <w:color w:val="000000"/>
        </w:rPr>
        <w:t xml:space="preserve"> and i</w:t>
      </w:r>
      <w:r>
        <w:rPr>
          <w:rFonts w:hint="eastAsia"/>
          <w:iCs/>
          <w:color w:val="000000"/>
          <w:vertAlign w:val="subscript"/>
        </w:rPr>
        <w:t>1,2</w:t>
      </w:r>
      <w:r>
        <w:rPr>
          <w:rFonts w:hint="eastAsia"/>
          <w:iCs/>
          <w:color w:val="000000"/>
        </w:rPr>
        <w:t xml:space="preserve"> between different CRIs </w:t>
      </w:r>
      <w:r w:rsidR="009156C4">
        <w:rPr>
          <w:iCs/>
          <w:color w:val="000000"/>
        </w:rPr>
        <w:t>for</w:t>
      </w:r>
      <w:r w:rsidR="009156C4">
        <w:rPr>
          <w:rFonts w:hint="eastAsia"/>
          <w:iCs/>
          <w:color w:val="000000"/>
        </w:rPr>
        <w:t xml:space="preserve"> </w:t>
      </w:r>
      <w:r>
        <w:rPr>
          <w:rFonts w:hint="eastAsia"/>
          <w:iCs/>
          <w:color w:val="000000"/>
        </w:rPr>
        <w:t>Type-I codebook</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84"/>
      </w:tblGrid>
      <w:tr w:rsidR="009B70BD">
        <w:tc>
          <w:tcPr>
            <w:tcW w:w="4788" w:type="dxa"/>
          </w:tcPr>
          <w:p w:rsidR="009B70BD" w:rsidRDefault="0051047F">
            <w:pPr>
              <w:tabs>
                <w:tab w:val="left" w:pos="420"/>
              </w:tabs>
              <w:snapToGrid w:val="0"/>
              <w:spacing w:beforeLines="50" w:before="120" w:afterLines="50" w:after="120" w:line="300" w:lineRule="auto"/>
              <w:jc w:val="center"/>
              <w:rPr>
                <w:iCs/>
                <w:color w:val="000000"/>
              </w:rPr>
            </w:pPr>
            <w:r>
              <w:rPr>
                <w:noProof/>
              </w:rPr>
              <w:drawing>
                <wp:inline distT="0" distB="0" distL="114300" distR="114300">
                  <wp:extent cx="2330450" cy="1748155"/>
                  <wp:effectExtent l="0" t="0" r="12700" b="4445"/>
                  <wp:docPr id="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1"/>
                          <pic:cNvPicPr>
                            <a:picLocks noChangeAspect="1"/>
                          </pic:cNvPicPr>
                        </pic:nvPicPr>
                        <pic:blipFill>
                          <a:blip r:embed="rId33"/>
                          <a:stretch>
                            <a:fillRect/>
                          </a:stretch>
                        </pic:blipFill>
                        <pic:spPr>
                          <a:xfrm>
                            <a:off x="0" y="0"/>
                            <a:ext cx="2330450" cy="1748155"/>
                          </a:xfrm>
                          <a:prstGeom prst="rect">
                            <a:avLst/>
                          </a:prstGeom>
                          <a:noFill/>
                          <a:ln>
                            <a:noFill/>
                          </a:ln>
                        </pic:spPr>
                      </pic:pic>
                    </a:graphicData>
                  </a:graphic>
                </wp:inline>
              </w:drawing>
            </w:r>
          </w:p>
        </w:tc>
        <w:tc>
          <w:tcPr>
            <w:tcW w:w="4788" w:type="dxa"/>
          </w:tcPr>
          <w:p w:rsidR="009B70BD" w:rsidRDefault="0051047F">
            <w:pPr>
              <w:tabs>
                <w:tab w:val="left" w:pos="420"/>
              </w:tabs>
              <w:snapToGrid w:val="0"/>
              <w:spacing w:beforeLines="50" w:before="120" w:afterLines="50" w:after="120" w:line="300" w:lineRule="auto"/>
              <w:jc w:val="center"/>
              <w:rPr>
                <w:iCs/>
                <w:color w:val="000000"/>
              </w:rPr>
            </w:pPr>
            <w:r>
              <w:rPr>
                <w:noProof/>
              </w:rPr>
              <w:drawing>
                <wp:inline distT="0" distB="0" distL="114300" distR="114300">
                  <wp:extent cx="2368550" cy="1777365"/>
                  <wp:effectExtent l="0" t="0" r="12700" b="13335"/>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pic:cNvPicPr>
                        </pic:nvPicPr>
                        <pic:blipFill>
                          <a:blip r:embed="rId34"/>
                          <a:stretch>
                            <a:fillRect/>
                          </a:stretch>
                        </pic:blipFill>
                        <pic:spPr>
                          <a:xfrm>
                            <a:off x="0" y="0"/>
                            <a:ext cx="2368550" cy="1777365"/>
                          </a:xfrm>
                          <a:prstGeom prst="rect">
                            <a:avLst/>
                          </a:prstGeom>
                        </pic:spPr>
                      </pic:pic>
                    </a:graphicData>
                  </a:graphic>
                </wp:inline>
              </w:drawing>
            </w:r>
          </w:p>
        </w:tc>
      </w:tr>
    </w:tbl>
    <w:p w:rsidR="009B70BD" w:rsidRDefault="0051047F">
      <w:pPr>
        <w:tabs>
          <w:tab w:val="left" w:pos="420"/>
        </w:tabs>
        <w:snapToGrid w:val="0"/>
        <w:spacing w:beforeLines="50" w:before="120" w:afterLines="50" w:after="120" w:line="300" w:lineRule="auto"/>
        <w:jc w:val="center"/>
        <w:rPr>
          <w:iCs/>
          <w:color w:val="000000"/>
        </w:rPr>
      </w:pPr>
      <w:r w:rsidRPr="002A74A3">
        <w:rPr>
          <w:b/>
          <w:iCs/>
          <w:color w:val="000000"/>
        </w:rPr>
        <w:t>Figure</w:t>
      </w:r>
      <w:r>
        <w:rPr>
          <w:rFonts w:hint="eastAsia"/>
          <w:iCs/>
          <w:color w:val="000000"/>
        </w:rPr>
        <w:t xml:space="preserve"> </w:t>
      </w:r>
      <w:r w:rsidRPr="002A74A3">
        <w:rPr>
          <w:b/>
          <w:iCs/>
          <w:color w:val="000000"/>
        </w:rPr>
        <w:t>10</w:t>
      </w:r>
      <w:r>
        <w:rPr>
          <w:rFonts w:hint="eastAsia"/>
          <w:iCs/>
          <w:color w:val="000000"/>
        </w:rPr>
        <w:t xml:space="preserve"> Distribution of SD and FD bases for different CRIs </w:t>
      </w:r>
      <w:r w:rsidR="009156C4">
        <w:rPr>
          <w:iCs/>
          <w:color w:val="000000"/>
        </w:rPr>
        <w:t>for</w:t>
      </w:r>
      <w:r w:rsidR="009156C4">
        <w:rPr>
          <w:rFonts w:hint="eastAsia"/>
          <w:iCs/>
          <w:color w:val="000000"/>
        </w:rPr>
        <w:t xml:space="preserve"> </w:t>
      </w:r>
      <w:r>
        <w:rPr>
          <w:rFonts w:hint="eastAsia"/>
          <w:iCs/>
          <w:color w:val="000000"/>
        </w:rPr>
        <w:t>Type-II codebook</w:t>
      </w:r>
    </w:p>
    <w:p w:rsidR="009B70BD" w:rsidRDefault="0051047F">
      <w:pPr>
        <w:tabs>
          <w:tab w:val="left" w:pos="420"/>
        </w:tabs>
        <w:snapToGrid w:val="0"/>
        <w:spacing w:beforeLines="50" w:before="120" w:afterLines="50" w:after="120" w:line="300" w:lineRule="auto"/>
        <w:rPr>
          <w:i/>
          <w:iCs/>
        </w:rPr>
      </w:pPr>
      <w:r>
        <w:rPr>
          <w:rFonts w:hint="eastAsia"/>
          <w:b/>
          <w:bCs/>
          <w:i/>
          <w:iCs/>
        </w:rPr>
        <w:t xml:space="preserve">Observation </w:t>
      </w:r>
      <w:r w:rsidR="009156C4">
        <w:rPr>
          <w:b/>
          <w:bCs/>
          <w:i/>
          <w:iCs/>
        </w:rPr>
        <w:t>5</w:t>
      </w:r>
      <w:r>
        <w:rPr>
          <w:rFonts w:hint="eastAsia"/>
          <w:b/>
          <w:bCs/>
          <w:i/>
          <w:iCs/>
        </w:rPr>
        <w:t xml:space="preserve">: </w:t>
      </w:r>
      <w:r>
        <w:rPr>
          <w:i/>
          <w:iCs/>
        </w:rPr>
        <w:t>Across different CRIs, high correlation is observed for the following Typ</w:t>
      </w:r>
      <w:r>
        <w:rPr>
          <w:rFonts w:hint="eastAsia"/>
          <w:i/>
          <w:iCs/>
        </w:rPr>
        <w:t>e</w:t>
      </w:r>
      <w:r>
        <w:rPr>
          <w:i/>
          <w:iCs/>
        </w:rPr>
        <w:t>-I/Type-II codebook parameters:</w:t>
      </w:r>
    </w:p>
    <w:p w:rsidR="009B70BD" w:rsidRDefault="0051047F">
      <w:pPr>
        <w:numPr>
          <w:ilvl w:val="0"/>
          <w:numId w:val="13"/>
        </w:numPr>
        <w:snapToGrid w:val="0"/>
        <w:spacing w:beforeLines="50" w:before="120" w:afterLines="50" w:after="120" w:line="300" w:lineRule="auto"/>
        <w:rPr>
          <w:i/>
          <w:iCs/>
          <w:color w:val="000000"/>
        </w:rPr>
      </w:pPr>
      <w:r>
        <w:rPr>
          <w:rFonts w:hint="eastAsia"/>
          <w:i/>
          <w:iCs/>
          <w:color w:val="000000"/>
        </w:rPr>
        <w:t>i</w:t>
      </w:r>
      <w:r>
        <w:rPr>
          <w:i/>
          <w:iCs/>
          <w:color w:val="000000"/>
          <w:vertAlign w:val="subscript"/>
        </w:rPr>
        <w:t>1,1</w:t>
      </w:r>
      <w:r>
        <w:rPr>
          <w:i/>
          <w:iCs/>
          <w:color w:val="000000"/>
        </w:rPr>
        <w:t xml:space="preserve"> and i</w:t>
      </w:r>
      <w:r>
        <w:rPr>
          <w:i/>
          <w:iCs/>
          <w:color w:val="000000"/>
          <w:vertAlign w:val="subscript"/>
        </w:rPr>
        <w:t>1</w:t>
      </w:r>
      <w:r>
        <w:rPr>
          <w:rFonts w:hint="eastAsia"/>
          <w:i/>
          <w:iCs/>
          <w:color w:val="000000"/>
          <w:vertAlign w:val="subscript"/>
        </w:rPr>
        <w:t>,</w:t>
      </w:r>
      <w:r>
        <w:rPr>
          <w:i/>
          <w:iCs/>
          <w:color w:val="000000"/>
          <w:vertAlign w:val="subscript"/>
        </w:rPr>
        <w:t>2</w:t>
      </w:r>
      <w:r>
        <w:rPr>
          <w:i/>
          <w:iCs/>
          <w:color w:val="000000"/>
        </w:rPr>
        <w:t xml:space="preserve"> for Type-I codebook;</w:t>
      </w:r>
    </w:p>
    <w:p w:rsidR="009B70BD" w:rsidRDefault="0051047F" w:rsidP="009156C4">
      <w:pPr>
        <w:numPr>
          <w:ilvl w:val="0"/>
          <w:numId w:val="13"/>
        </w:numPr>
        <w:snapToGrid w:val="0"/>
        <w:spacing w:beforeLines="50" w:before="120" w:afterLines="50" w:after="120" w:line="300" w:lineRule="auto"/>
        <w:rPr>
          <w:i/>
          <w:iCs/>
          <w:color w:val="000000"/>
        </w:rPr>
      </w:pPr>
      <w:r>
        <w:rPr>
          <w:rFonts w:hint="eastAsia"/>
          <w:i/>
          <w:iCs/>
          <w:color w:val="000000"/>
        </w:rPr>
        <w:t>S</w:t>
      </w:r>
      <w:r>
        <w:rPr>
          <w:i/>
          <w:iCs/>
          <w:color w:val="000000"/>
        </w:rPr>
        <w:t>D/FD bases for Type-</w:t>
      </w:r>
      <w:r>
        <w:rPr>
          <w:rFonts w:hint="eastAsia"/>
          <w:i/>
          <w:iCs/>
          <w:color w:val="000000"/>
        </w:rPr>
        <w:t>II</w:t>
      </w:r>
      <w:r>
        <w:rPr>
          <w:i/>
          <w:iCs/>
          <w:color w:val="000000"/>
        </w:rPr>
        <w:t xml:space="preserve"> codebook.</w:t>
      </w:r>
    </w:p>
    <w:p w:rsidR="009B70BD" w:rsidRDefault="0051047F">
      <w:pPr>
        <w:keepNext/>
        <w:widowControl w:val="0"/>
        <w:numPr>
          <w:ilvl w:val="0"/>
          <w:numId w:val="8"/>
        </w:numPr>
        <w:tabs>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8"/>
          <w:szCs w:val="28"/>
        </w:rPr>
      </w:pPr>
      <w:r>
        <w:rPr>
          <w:rFonts w:eastAsia="Arial Unicode MS"/>
          <w:b/>
          <w:bCs/>
          <w:sz w:val="28"/>
          <w:szCs w:val="28"/>
        </w:rPr>
        <w:t>CSI enhancement for CJT</w:t>
      </w:r>
      <w:r>
        <w:rPr>
          <w:rFonts w:eastAsia="Arial Unicode MS" w:hint="eastAsia"/>
          <w:b/>
          <w:bCs/>
          <w:sz w:val="28"/>
          <w:szCs w:val="28"/>
        </w:rPr>
        <w:t xml:space="preserve"> </w:t>
      </w:r>
      <w:r>
        <w:rPr>
          <w:rFonts w:eastAsia="Arial Unicode MS"/>
          <w:b/>
          <w:bCs/>
          <w:sz w:val="28"/>
          <w:szCs w:val="28"/>
        </w:rPr>
        <w:t>calibration</w:t>
      </w:r>
      <w:r>
        <w:rPr>
          <w:rFonts w:eastAsia="Arial Unicode MS" w:hint="eastAsia"/>
          <w:b/>
          <w:bCs/>
          <w:sz w:val="28"/>
          <w:szCs w:val="28"/>
        </w:rPr>
        <w:t xml:space="preserve"> </w:t>
      </w:r>
    </w:p>
    <w:p w:rsidR="009B70BD" w:rsidRDefault="0051047F">
      <w:pPr>
        <w:snapToGrid w:val="0"/>
        <w:spacing w:before="120" w:afterLines="50" w:after="120" w:line="300" w:lineRule="auto"/>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DL and UL MIMO, </w:t>
      </w:r>
      <w:r>
        <w:rPr>
          <w:rFonts w:eastAsia="微软雅黑"/>
          <w:szCs w:val="20"/>
          <w:lang w:val="en-GB"/>
        </w:rPr>
        <w:t>the aspects for CSI enhancement for CJT</w:t>
      </w:r>
      <w:r>
        <w:rPr>
          <w:rFonts w:eastAsia="微软雅黑" w:hint="eastAsia"/>
          <w:szCs w:val="20"/>
        </w:rPr>
        <w:t xml:space="preserve"> </w:t>
      </w:r>
      <w:r>
        <w:rPr>
          <w:rFonts w:eastAsia="Times New Roman"/>
          <w:szCs w:val="24"/>
          <w:lang w:eastAsia="en-US"/>
        </w:rPr>
        <w:t>deployments under non-ideal synchronization and backhaul targeting FR1</w:t>
      </w:r>
      <w:r>
        <w:rPr>
          <w:rFonts w:eastAsia="微软雅黑"/>
          <w:szCs w:val="20"/>
          <w:lang w:val="en-GB"/>
        </w:rPr>
        <w:t xml:space="preserve">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af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B70BD">
        <w:tc>
          <w:tcPr>
            <w:tcW w:w="9351" w:type="dxa"/>
          </w:tcPr>
          <w:p w:rsidR="009B70BD" w:rsidRDefault="0051047F">
            <w:pPr>
              <w:numPr>
                <w:ilvl w:val="0"/>
                <w:numId w:val="9"/>
              </w:numPr>
              <w:tabs>
                <w:tab w:val="clear" w:pos="720"/>
                <w:tab w:val="left" w:pos="300"/>
              </w:tabs>
              <w:snapToGrid w:val="0"/>
              <w:spacing w:after="0"/>
              <w:rPr>
                <w:rFonts w:eastAsia="Times New Roman"/>
                <w:szCs w:val="24"/>
                <w:lang w:eastAsia="en-US"/>
              </w:rPr>
            </w:pPr>
            <w:r>
              <w:rPr>
                <w:rFonts w:eastAsia="Times New Roman"/>
                <w:szCs w:val="24"/>
                <w:lang w:eastAsia="en-US"/>
              </w:rPr>
              <w:t xml:space="preserve">Specify UE reporting enhancement for CJT deployments under non-ideal synchronization and backhaul, targeting FR1, both FDD and TDD </w:t>
            </w:r>
          </w:p>
          <w:p w:rsidR="009B70BD" w:rsidRDefault="0051047F">
            <w:pPr>
              <w:numPr>
                <w:ilvl w:val="0"/>
                <w:numId w:val="17"/>
              </w:numPr>
              <w:snapToGrid w:val="0"/>
              <w:spacing w:after="0"/>
              <w:rPr>
                <w:bCs/>
              </w:rPr>
            </w:pPr>
            <w:r>
              <w:rPr>
                <w:rFonts w:eastAsia="Times New Roman"/>
                <w:szCs w:val="24"/>
                <w:lang w:eastAsia="en-US"/>
              </w:rPr>
              <w:t>Inter-TRP delay misalignment and frequency/phase offset measurement and reporting, assuming legacy CSI-RS design, with stand-alone aperiodic reporting on PUSCH</w:t>
            </w:r>
          </w:p>
        </w:tc>
      </w:tr>
    </w:tbl>
    <w:p w:rsidR="009B70BD" w:rsidRDefault="003D5DB6">
      <w:pPr>
        <w:spacing w:before="200"/>
      </w:pPr>
      <w:r>
        <w:rPr>
          <w:rFonts w:hint="eastAsia"/>
        </w:rPr>
        <w:t>Figure 11</w:t>
      </w:r>
      <w:r w:rsidR="0051047F">
        <w:rPr>
          <w:rFonts w:hint="eastAsia"/>
        </w:rPr>
        <w:t xml:space="preserve"> shows the architecture of m-TRP CJT. In</w:t>
      </w:r>
      <w:r w:rsidR="0051047F">
        <w:t xml:space="preserve"> FDD mode</w:t>
      </w:r>
      <w:r w:rsidR="0051047F">
        <w:rPr>
          <w:rFonts w:hint="eastAsia"/>
        </w:rPr>
        <w:t xml:space="preserve">, the non-ideal synchronization and backhaul </w:t>
      </w:r>
      <w:r w:rsidR="0051047F">
        <w:t>would</w:t>
      </w:r>
      <w:r w:rsidR="0051047F">
        <w:rPr>
          <w:rFonts w:hint="eastAsia"/>
        </w:rPr>
        <w:t xml:space="preserve"> </w:t>
      </w:r>
      <w:r w:rsidR="0051047F">
        <w:t xml:space="preserve">cause </w:t>
      </w:r>
      <w:r w:rsidR="0051047F">
        <w:rPr>
          <w:rFonts w:hint="eastAsia"/>
        </w:rPr>
        <w:t xml:space="preserve">inter-TRP </w:t>
      </w:r>
      <w:r w:rsidR="0024457F">
        <w:t>delay</w:t>
      </w:r>
      <w:r w:rsidR="0051047F">
        <w:rPr>
          <w:rFonts w:hint="eastAsia"/>
        </w:rPr>
        <w:t xml:space="preserve">/frequency misalignment, and may lead to strong frequency selectivity and time variability of the channel. </w:t>
      </w:r>
      <w:r w:rsidR="0051047F">
        <w:t xml:space="preserve">In TDD mode, the DL precoder is determined according to UL channel measurement. The misalignment of UL/DL phase difference among TRPs may break the reciprocity assumption. To guarantee the CJT performance, such </w:t>
      </w:r>
      <w:r w:rsidR="0024457F">
        <w:t>delay</w:t>
      </w:r>
      <w:r w:rsidR="0051047F">
        <w:t>/frequency/phase misalignment needs to be measured and compensated.</w:t>
      </w:r>
    </w:p>
    <w:p w:rsidR="009B70BD" w:rsidRDefault="0051047F">
      <w:pPr>
        <w:jc w:val="center"/>
      </w:pPr>
      <w:r>
        <w:rPr>
          <w:noProof/>
        </w:rPr>
        <w:lastRenderedPageBreak/>
        <w:drawing>
          <wp:inline distT="0" distB="0" distL="0" distR="0">
            <wp:extent cx="2523490" cy="2040890"/>
            <wp:effectExtent l="0" t="0" r="0" b="165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523490" cy="2040890"/>
                    </a:xfrm>
                    <a:prstGeom prst="rect">
                      <a:avLst/>
                    </a:prstGeom>
                    <a:noFill/>
                    <a:ln>
                      <a:noFill/>
                    </a:ln>
                  </pic:spPr>
                </pic:pic>
              </a:graphicData>
            </a:graphic>
          </wp:inline>
        </w:drawing>
      </w:r>
    </w:p>
    <w:p w:rsidR="009B70BD" w:rsidRDefault="003D5DB6">
      <w:pPr>
        <w:jc w:val="center"/>
      </w:pPr>
      <w:r>
        <w:rPr>
          <w:rFonts w:hint="eastAsia"/>
          <w:b/>
          <w:bCs/>
        </w:rPr>
        <w:t>Figure 11</w:t>
      </w:r>
      <w:r w:rsidR="0051047F">
        <w:rPr>
          <w:rFonts w:hint="eastAsia"/>
        </w:rPr>
        <w:t xml:space="preserve"> Diagram of CJT architecture</w:t>
      </w:r>
    </w:p>
    <w:p w:rsidR="009B70BD" w:rsidRDefault="0051047F">
      <w:r>
        <w:rPr>
          <w:rFonts w:hint="eastAsia"/>
        </w:rPr>
        <w:t xml:space="preserve">The benefits of inter-TRP </w:t>
      </w:r>
      <w:r w:rsidR="0024457F">
        <w:t>delay</w:t>
      </w:r>
      <w:r>
        <w:rPr>
          <w:rFonts w:hint="eastAsia"/>
        </w:rPr>
        <w:t xml:space="preserve">/frequency calibration were evaluated through SLS. </w:t>
      </w:r>
      <w:r w:rsidR="003D5DB6">
        <w:rPr>
          <w:rFonts w:hint="eastAsia"/>
        </w:rPr>
        <w:t>Figure 12</w:t>
      </w:r>
      <w:r>
        <w:rPr>
          <w:rFonts w:hint="eastAsia"/>
        </w:rPr>
        <w:t xml:space="preserve"> shows the DL throughput with </w:t>
      </w:r>
      <w:r>
        <w:t>separate or joint</w:t>
      </w:r>
      <w:r>
        <w:rPr>
          <w:rFonts w:hint="eastAsia"/>
        </w:rPr>
        <w:t xml:space="preserve"> </w:t>
      </w:r>
      <w:r w:rsidR="0024457F">
        <w:t>delay</w:t>
      </w:r>
      <w:r>
        <w:rPr>
          <w:rFonts w:hint="eastAsia"/>
        </w:rPr>
        <w:t xml:space="preserve"> </w:t>
      </w:r>
      <w:r>
        <w:t>and</w:t>
      </w:r>
      <w:r>
        <w:rPr>
          <w:rFonts w:hint="eastAsia"/>
        </w:rPr>
        <w:t xml:space="preserve"> frequency calibration. It is observed that, there are approximately 6% or 7% average throughput gain with only </w:t>
      </w:r>
      <w:r w:rsidR="0024457F">
        <w:t>delay</w:t>
      </w:r>
      <w:r>
        <w:rPr>
          <w:rFonts w:hint="eastAsia"/>
        </w:rPr>
        <w:t xml:space="preserve"> or frequency calibration, and approximately 17% average throughput gain with joint </w:t>
      </w:r>
      <w:r w:rsidR="0024457F">
        <w:t>delay</w:t>
      </w:r>
      <w:r>
        <w:rPr>
          <w:rFonts w:hint="eastAsia"/>
        </w:rPr>
        <w:t>/frequency calibration. The simulation assumptions</w:t>
      </w:r>
      <w:r>
        <w:t xml:space="preserve"> </w:t>
      </w:r>
      <w:r>
        <w:rPr>
          <w:rFonts w:hint="eastAsia"/>
        </w:rPr>
        <w:t>for</w:t>
      </w:r>
      <w:r>
        <w:t xml:space="preserve"> CJT calibration</w:t>
      </w:r>
      <w:r>
        <w:rPr>
          <w:rFonts w:hint="eastAsia"/>
        </w:rPr>
        <w:t xml:space="preserve"> can be found in </w:t>
      </w:r>
      <w:r>
        <w:t>T</w:t>
      </w:r>
      <w:r>
        <w:rPr>
          <w:rFonts w:hint="eastAsia"/>
        </w:rPr>
        <w:t xml:space="preserve">able </w:t>
      </w:r>
      <w:r w:rsidR="00C65196">
        <w:t>5</w:t>
      </w:r>
      <w:r>
        <w:rPr>
          <w:rFonts w:hint="eastAsia"/>
        </w:rPr>
        <w:t xml:space="preserve"> </w:t>
      </w:r>
      <w:r>
        <w:t xml:space="preserve">in </w:t>
      </w:r>
      <w:r>
        <w:rPr>
          <w:rFonts w:hint="eastAsia"/>
        </w:rPr>
        <w:t>the appendix.</w:t>
      </w:r>
    </w:p>
    <w:p w:rsidR="009B70BD" w:rsidRDefault="0051047F">
      <w:pPr>
        <w:rPr>
          <w:b/>
          <w:bCs/>
          <w:i/>
          <w:iCs/>
        </w:rPr>
      </w:pPr>
      <w:r>
        <w:rPr>
          <w:rFonts w:hint="eastAsia"/>
          <w:b/>
          <w:bCs/>
          <w:i/>
          <w:iCs/>
        </w:rPr>
        <w:t xml:space="preserve">Observation </w:t>
      </w:r>
      <w:r w:rsidR="003D5DB6">
        <w:rPr>
          <w:b/>
          <w:bCs/>
          <w:i/>
          <w:iCs/>
        </w:rPr>
        <w:t>6</w:t>
      </w:r>
      <w:r>
        <w:rPr>
          <w:rFonts w:hint="eastAsia"/>
          <w:b/>
          <w:bCs/>
          <w:i/>
          <w:iCs/>
        </w:rPr>
        <w:t xml:space="preserve">: </w:t>
      </w:r>
      <w:r>
        <w:rPr>
          <w:rFonts w:hint="eastAsia"/>
          <w:i/>
          <w:iCs/>
        </w:rPr>
        <w:t xml:space="preserve">Inter-TRP </w:t>
      </w:r>
      <w:r w:rsidR="0024457F">
        <w:rPr>
          <w:i/>
          <w:iCs/>
        </w:rPr>
        <w:t>delay</w:t>
      </w:r>
      <w:r>
        <w:rPr>
          <w:rFonts w:hint="eastAsia"/>
          <w:i/>
          <w:iCs/>
        </w:rPr>
        <w:t xml:space="preserve">/frequency calibration can bring significant throughput gain for CJT with non-ideal synchronization and </w:t>
      </w:r>
      <w:r>
        <w:rPr>
          <w:i/>
          <w:iCs/>
        </w:rPr>
        <w:t>backhaul</w:t>
      </w:r>
      <w:r>
        <w:rPr>
          <w:rFonts w:hint="eastAsia"/>
          <w:i/>
          <w:iCs/>
        </w:rPr>
        <w:t>.</w:t>
      </w:r>
    </w:p>
    <w:p w:rsidR="009B70BD" w:rsidRDefault="0051047F">
      <w:pPr>
        <w:jc w:val="center"/>
      </w:pPr>
      <w:r>
        <w:rPr>
          <w:noProof/>
        </w:rPr>
        <w:drawing>
          <wp:inline distT="0" distB="0" distL="114300" distR="114300">
            <wp:extent cx="3239770" cy="1896745"/>
            <wp:effectExtent l="0" t="0" r="17780" b="8255"/>
            <wp:docPr id="15"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hart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239770" cy="1896745"/>
                    </a:xfrm>
                    <a:prstGeom prst="rect">
                      <a:avLst/>
                    </a:prstGeom>
                    <a:noFill/>
                    <a:ln>
                      <a:noFill/>
                    </a:ln>
                  </pic:spPr>
                </pic:pic>
              </a:graphicData>
            </a:graphic>
          </wp:inline>
        </w:drawing>
      </w:r>
    </w:p>
    <w:p w:rsidR="009B70BD" w:rsidRDefault="003D5DB6">
      <w:pPr>
        <w:jc w:val="center"/>
      </w:pPr>
      <w:r>
        <w:rPr>
          <w:rFonts w:hint="eastAsia"/>
          <w:b/>
          <w:bCs/>
        </w:rPr>
        <w:t>Figure 12</w:t>
      </w:r>
      <w:r w:rsidR="0051047F">
        <w:rPr>
          <w:rFonts w:hint="eastAsia"/>
        </w:rPr>
        <w:t xml:space="preserve"> DL throughput gain obtained with inter-TRP </w:t>
      </w:r>
      <w:r w:rsidR="0024457F">
        <w:t>delay</w:t>
      </w:r>
      <w:r w:rsidR="0051047F">
        <w:rPr>
          <w:rFonts w:hint="eastAsia"/>
        </w:rPr>
        <w:t>/frequency gain</w:t>
      </w:r>
    </w:p>
    <w:p w:rsidR="009B70BD" w:rsidRDefault="0051047F">
      <w:pPr>
        <w:numPr>
          <w:ilvl w:val="1"/>
          <w:numId w:val="8"/>
        </w:numPr>
        <w:snapToGrid w:val="0"/>
        <w:spacing w:afterLines="50" w:after="120" w:line="25" w:lineRule="atLeast"/>
        <w:outlineLvl w:val="1"/>
        <w:rPr>
          <w:b/>
          <w:sz w:val="24"/>
          <w:szCs w:val="20"/>
        </w:rPr>
      </w:pPr>
      <w:r>
        <w:rPr>
          <w:rFonts w:hint="eastAsia"/>
          <w:b/>
          <w:sz w:val="24"/>
          <w:szCs w:val="20"/>
        </w:rPr>
        <w:t>G</w:t>
      </w:r>
      <w:r>
        <w:rPr>
          <w:b/>
          <w:sz w:val="24"/>
          <w:szCs w:val="20"/>
        </w:rPr>
        <w:t>eneral features for CJT calibration reporting</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hint="eastAsia"/>
          <w:szCs w:val="20"/>
        </w:rPr>
        <w:t>I</w:t>
      </w:r>
      <w:r>
        <w:rPr>
          <w:rFonts w:eastAsia="微软雅黑"/>
          <w:szCs w:val="20"/>
        </w:rPr>
        <w:t xml:space="preserve">n RAN1#116 </w:t>
      </w:r>
      <w:r>
        <w:rPr>
          <w:rFonts w:eastAsia="微软雅黑" w:hint="eastAsia"/>
          <w:szCs w:val="20"/>
        </w:rPr>
        <w:t>mee</w:t>
      </w:r>
      <w:r>
        <w:rPr>
          <w:rFonts w:eastAsia="微软雅黑"/>
          <w:szCs w:val="20"/>
        </w:rPr>
        <w:t>ting, we reached the following agreement on the framework of CJT calibration reporting.</w:t>
      </w:r>
    </w:p>
    <w:tbl>
      <w:tblPr>
        <w:tblStyle w:val="af9"/>
        <w:tblW w:w="0" w:type="auto"/>
        <w:tblLook w:val="04A0" w:firstRow="1" w:lastRow="0" w:firstColumn="1" w:lastColumn="0" w:noHBand="0" w:noVBand="1"/>
      </w:tblPr>
      <w:tblGrid>
        <w:gridCol w:w="9350"/>
      </w:tblGrid>
      <w:tr w:rsidR="009B70BD">
        <w:tc>
          <w:tcPr>
            <w:tcW w:w="9350" w:type="dxa"/>
          </w:tcPr>
          <w:p w:rsidR="009B70BD" w:rsidRDefault="0051047F">
            <w:pPr>
              <w:widowControl w:val="0"/>
              <w:snapToGrid w:val="0"/>
              <w:spacing w:after="0" w:line="300" w:lineRule="auto"/>
              <w:rPr>
                <w:szCs w:val="20"/>
                <w:u w:val="single"/>
              </w:rPr>
            </w:pPr>
            <w:r>
              <w:rPr>
                <w:b/>
                <w:szCs w:val="20"/>
                <w:u w:val="single"/>
              </w:rPr>
              <w:t>Agreement (RAN1#116)</w:t>
            </w:r>
          </w:p>
          <w:p w:rsidR="009B70BD" w:rsidRDefault="0051047F">
            <w:pPr>
              <w:snapToGrid w:val="0"/>
              <w:spacing w:after="0" w:line="300" w:lineRule="auto"/>
              <w:rPr>
                <w:rFonts w:eastAsia="Calibri"/>
                <w:szCs w:val="20"/>
              </w:rPr>
            </w:pPr>
            <w:r>
              <w:rPr>
                <w:rFonts w:eastAsia="Calibri"/>
                <w:szCs w:val="20"/>
              </w:rPr>
              <w:t>For the Rel-19 aperiodic standalone CJT calibration reporting, support the following:</w:t>
            </w:r>
          </w:p>
          <w:p w:rsidR="009B70BD" w:rsidRDefault="0051047F">
            <w:pPr>
              <w:pStyle w:val="aff2"/>
              <w:numPr>
                <w:ilvl w:val="0"/>
                <w:numId w:val="18"/>
              </w:numPr>
              <w:snapToGrid w:val="0"/>
              <w:spacing w:after="0" w:line="300" w:lineRule="auto"/>
              <w:ind w:firstLineChars="0"/>
              <w:jc w:val="left"/>
              <w:rPr>
                <w:rFonts w:eastAsia="Calibri"/>
                <w:szCs w:val="20"/>
              </w:rPr>
            </w:pPr>
            <w:r>
              <w:rPr>
                <w:rFonts w:eastAsia="Calibri"/>
                <w:szCs w:val="20"/>
              </w:rPr>
              <w:t>The UE is configured with N</w:t>
            </w:r>
            <w:r>
              <w:rPr>
                <w:rFonts w:eastAsia="Calibri"/>
                <w:szCs w:val="20"/>
                <w:vertAlign w:val="subscript"/>
              </w:rPr>
              <w:t>TRP</w:t>
            </w:r>
            <w:r>
              <w:rPr>
                <w:rFonts w:eastAsia="Calibri"/>
                <w:szCs w:val="20"/>
              </w:rPr>
              <w:t xml:space="preserve"> NZP CSI-RS resources/resource sets via higher-layer (RRC) </w:t>
            </w:r>
            <w:proofErr w:type="spellStart"/>
            <w:r>
              <w:rPr>
                <w:rFonts w:eastAsia="Calibri"/>
                <w:szCs w:val="20"/>
              </w:rPr>
              <w:t>signalling</w:t>
            </w:r>
            <w:proofErr w:type="spellEnd"/>
            <w:r>
              <w:rPr>
                <w:rFonts w:eastAsia="Calibri"/>
                <w:szCs w:val="20"/>
              </w:rPr>
              <w:t xml:space="preserve"> where N</w:t>
            </w:r>
            <w:r>
              <w:rPr>
                <w:rFonts w:eastAsia="Calibri"/>
                <w:szCs w:val="20"/>
                <w:vertAlign w:val="subscript"/>
              </w:rPr>
              <w:t>TRP</w:t>
            </w:r>
            <m:oMath>
              <m:r>
                <w:rPr>
                  <w:rFonts w:ascii="Cambria Math" w:eastAsia="Calibri" w:hAnsi="Cambria Math"/>
                  <w:szCs w:val="20"/>
                </w:rPr>
                <m:t>∈</m:t>
              </m:r>
            </m:oMath>
            <w:r>
              <w:rPr>
                <w:rFonts w:eastAsia="Calibri"/>
                <w:szCs w:val="20"/>
              </w:rPr>
              <w:t xml:space="preserve">{1, 2, 3, 4} </w:t>
            </w:r>
          </w:p>
          <w:p w:rsidR="009B70BD" w:rsidRDefault="0051047F">
            <w:pPr>
              <w:pStyle w:val="aff2"/>
              <w:numPr>
                <w:ilvl w:val="1"/>
                <w:numId w:val="18"/>
              </w:numPr>
              <w:snapToGrid w:val="0"/>
              <w:spacing w:after="0" w:line="300" w:lineRule="auto"/>
              <w:ind w:firstLineChars="0"/>
              <w:jc w:val="left"/>
              <w:rPr>
                <w:rFonts w:eastAsia="Calibri"/>
                <w:szCs w:val="20"/>
              </w:rPr>
            </w:pPr>
            <w:r>
              <w:rPr>
                <w:rFonts w:eastAsia="Calibri"/>
                <w:szCs w:val="20"/>
              </w:rPr>
              <w:t>FFS (by RAN1#116bis): Whether further restriction(s) on applicable NZP CSI-RS resources/resource sets need to be introduced (e.g. number of ports, only TRS with multiple resource sets, TD/FD locations, QCL assumptions)</w:t>
            </w:r>
          </w:p>
          <w:p w:rsidR="009B70BD" w:rsidRDefault="0051047F">
            <w:pPr>
              <w:pStyle w:val="aff2"/>
              <w:numPr>
                <w:ilvl w:val="0"/>
                <w:numId w:val="18"/>
              </w:numPr>
              <w:snapToGrid w:val="0"/>
              <w:spacing w:after="0" w:line="300" w:lineRule="auto"/>
              <w:ind w:firstLineChars="0"/>
              <w:jc w:val="left"/>
              <w:rPr>
                <w:rFonts w:eastAsia="Calibri"/>
                <w:szCs w:val="20"/>
              </w:rPr>
            </w:pPr>
            <w:r>
              <w:rPr>
                <w:rFonts w:eastAsia="Calibri"/>
                <w:szCs w:val="20"/>
              </w:rPr>
              <w:lastRenderedPageBreak/>
              <w:t>For the purpose of CJT calibration reporting, decide, by RAN1#116bis, from the following</w:t>
            </w:r>
          </w:p>
          <w:p w:rsidR="009B70BD" w:rsidRDefault="0051047F">
            <w:pPr>
              <w:pStyle w:val="aff2"/>
              <w:numPr>
                <w:ilvl w:val="1"/>
                <w:numId w:val="18"/>
              </w:numPr>
              <w:snapToGrid w:val="0"/>
              <w:spacing w:after="0" w:line="300" w:lineRule="auto"/>
              <w:ind w:firstLineChars="0"/>
              <w:jc w:val="left"/>
              <w:rPr>
                <w:rFonts w:eastAsia="Calibri"/>
                <w:szCs w:val="20"/>
              </w:rPr>
            </w:pPr>
            <w:r>
              <w:rPr>
                <w:rFonts w:eastAsia="Calibri"/>
                <w:szCs w:val="20"/>
              </w:rPr>
              <w:t>Opt1: The UE reports for all the configured N</w:t>
            </w:r>
            <w:r>
              <w:rPr>
                <w:rFonts w:eastAsia="Calibri"/>
                <w:szCs w:val="20"/>
                <w:vertAlign w:val="subscript"/>
              </w:rPr>
              <w:t>TRP</w:t>
            </w:r>
            <w:r>
              <w:rPr>
                <w:rFonts w:eastAsia="Calibri"/>
                <w:szCs w:val="20"/>
              </w:rPr>
              <w:t xml:space="preserve"> NZP CSI-RS resources/resource sets</w:t>
            </w:r>
          </w:p>
          <w:p w:rsidR="009B70BD" w:rsidRDefault="0051047F">
            <w:pPr>
              <w:pStyle w:val="aff2"/>
              <w:numPr>
                <w:ilvl w:val="1"/>
                <w:numId w:val="18"/>
              </w:numPr>
              <w:snapToGrid w:val="0"/>
              <w:spacing w:after="0" w:line="300" w:lineRule="auto"/>
              <w:ind w:firstLineChars="0"/>
              <w:jc w:val="left"/>
              <w:rPr>
                <w:rFonts w:eastAsia="Calibri"/>
                <w:szCs w:val="20"/>
              </w:rPr>
            </w:pPr>
            <w:r>
              <w:rPr>
                <w:rFonts w:eastAsia="Calibri"/>
                <w:szCs w:val="20"/>
              </w:rPr>
              <w:t>Opt2: The UE reports for N out of N</w:t>
            </w:r>
            <w:r>
              <w:rPr>
                <w:rFonts w:eastAsia="Calibri"/>
                <w:szCs w:val="20"/>
                <w:vertAlign w:val="subscript"/>
              </w:rPr>
              <w:t>TRP</w:t>
            </w:r>
            <w:r>
              <w:rPr>
                <w:rFonts w:eastAsia="Calibri"/>
                <w:szCs w:val="20"/>
              </w:rPr>
              <w:t xml:space="preserve"> NZP CSI-RS resources/resource sets where the selection of N resources/resource sets is dynamically </w:t>
            </w:r>
            <w:proofErr w:type="spellStart"/>
            <w:r>
              <w:rPr>
                <w:rFonts w:eastAsia="Calibri"/>
                <w:szCs w:val="20"/>
              </w:rPr>
              <w:t>signalled</w:t>
            </w:r>
            <w:proofErr w:type="spellEnd"/>
            <w:r>
              <w:rPr>
                <w:rFonts w:eastAsia="Calibri"/>
                <w:szCs w:val="20"/>
              </w:rPr>
              <w:t xml:space="preserve"> by the NW to the UE </w:t>
            </w:r>
          </w:p>
          <w:p w:rsidR="009B70BD" w:rsidRDefault="0051047F">
            <w:pPr>
              <w:pStyle w:val="aff2"/>
              <w:numPr>
                <w:ilvl w:val="1"/>
                <w:numId w:val="18"/>
              </w:numPr>
              <w:snapToGrid w:val="0"/>
              <w:spacing w:after="0" w:line="300" w:lineRule="auto"/>
              <w:ind w:firstLineChars="0"/>
              <w:jc w:val="left"/>
              <w:rPr>
                <w:rFonts w:eastAsia="Calibri"/>
                <w:szCs w:val="20"/>
              </w:rPr>
            </w:pPr>
            <w:r>
              <w:rPr>
                <w:rFonts w:eastAsia="Calibri"/>
                <w:szCs w:val="20"/>
              </w:rPr>
              <w:t>Opt3: The UE reports for N out of N</w:t>
            </w:r>
            <w:r>
              <w:rPr>
                <w:rFonts w:eastAsia="Calibri"/>
                <w:szCs w:val="20"/>
                <w:vertAlign w:val="subscript"/>
              </w:rPr>
              <w:t>TRP</w:t>
            </w:r>
            <w:r>
              <w:rPr>
                <w:rFonts w:eastAsia="Calibri"/>
                <w:szCs w:val="20"/>
              </w:rPr>
              <w:t xml:space="preserve"> NZP CSI-RS resources/resource sets where the selection of N resources/resource sets is performed by the UE and included in the CSI report </w:t>
            </w:r>
          </w:p>
          <w:p w:rsidR="009B70BD" w:rsidRDefault="0051047F">
            <w:pPr>
              <w:pStyle w:val="aff2"/>
              <w:numPr>
                <w:ilvl w:val="0"/>
                <w:numId w:val="18"/>
              </w:numPr>
              <w:snapToGrid w:val="0"/>
              <w:spacing w:after="0" w:line="300" w:lineRule="auto"/>
              <w:ind w:firstLineChars="0"/>
              <w:jc w:val="left"/>
              <w:rPr>
                <w:rFonts w:eastAsia="Calibri"/>
                <w:szCs w:val="20"/>
              </w:rPr>
            </w:pPr>
            <w:r>
              <w:rPr>
                <w:rFonts w:eastAsia="Calibri"/>
                <w:szCs w:val="20"/>
              </w:rPr>
              <w:t>Interference measurement is not supported, hence neither CSI-IM nor NZP CSI-RS resource for interference measurement can be configured (analogous to Rel-18 TDCP)</w:t>
            </w:r>
          </w:p>
          <w:p w:rsidR="009B70BD" w:rsidRDefault="0051047F">
            <w:pPr>
              <w:pStyle w:val="aff2"/>
              <w:numPr>
                <w:ilvl w:val="0"/>
                <w:numId w:val="18"/>
              </w:numPr>
              <w:snapToGrid w:val="0"/>
              <w:spacing w:after="0" w:line="300" w:lineRule="auto"/>
              <w:ind w:firstLineChars="0"/>
              <w:jc w:val="left"/>
              <w:rPr>
                <w:rFonts w:eastAsia="Calibri"/>
                <w:szCs w:val="20"/>
              </w:rPr>
            </w:pPr>
            <w:r>
              <w:rPr>
                <w:rFonts w:eastAsia="Calibri"/>
                <w:szCs w:val="20"/>
              </w:rPr>
              <w:t>FFS: One-part or two-part UCI on PUSCH (analogous to Rel-18 TDCP)</w:t>
            </w:r>
          </w:p>
          <w:p w:rsidR="009B70BD" w:rsidRDefault="0051047F">
            <w:pPr>
              <w:pStyle w:val="aff2"/>
              <w:numPr>
                <w:ilvl w:val="0"/>
                <w:numId w:val="18"/>
              </w:numPr>
              <w:snapToGrid w:val="0"/>
              <w:spacing w:after="0" w:line="300" w:lineRule="auto"/>
              <w:ind w:firstLineChars="0"/>
              <w:jc w:val="left"/>
              <w:rPr>
                <w:rFonts w:eastAsia="Calibri"/>
                <w:szCs w:val="20"/>
              </w:rPr>
            </w:pPr>
            <w:r>
              <w:rPr>
                <w:rFonts w:eastAsia="Calibri"/>
                <w:szCs w:val="20"/>
              </w:rPr>
              <w:t>The priority of the CSI report(s) is the same as CSI report(s) not carrying L1-RSRP or L1-SINR (analogous to Rel-18 TDCP)</w:t>
            </w:r>
          </w:p>
        </w:tc>
      </w:tr>
    </w:tbl>
    <w:p w:rsidR="009B70BD" w:rsidRDefault="0051047F">
      <w:pPr>
        <w:tabs>
          <w:tab w:val="left" w:pos="420"/>
        </w:tabs>
        <w:snapToGrid w:val="0"/>
        <w:spacing w:beforeLines="50" w:before="120" w:afterLines="50" w:after="120" w:line="300" w:lineRule="auto"/>
        <w:rPr>
          <w:rFonts w:eastAsia="微软雅黑"/>
          <w:szCs w:val="20"/>
        </w:rPr>
      </w:pPr>
      <w:r>
        <w:rPr>
          <w:rFonts w:eastAsia="微软雅黑" w:hint="eastAsia"/>
          <w:szCs w:val="20"/>
        </w:rPr>
        <w:lastRenderedPageBreak/>
        <w:t>R</w:t>
      </w:r>
      <w:r>
        <w:rPr>
          <w:rFonts w:eastAsia="微软雅黑"/>
          <w:szCs w:val="20"/>
        </w:rPr>
        <w:t>egarding the configuration of N, we prefer Opt1, i.e., UE reports for all the configured N</w:t>
      </w:r>
      <w:r>
        <w:rPr>
          <w:rFonts w:eastAsia="微软雅黑"/>
          <w:szCs w:val="20"/>
          <w:vertAlign w:val="subscript"/>
        </w:rPr>
        <w:t>TRP</w:t>
      </w:r>
      <w:r>
        <w:rPr>
          <w:rFonts w:eastAsia="微软雅黑"/>
          <w:szCs w:val="20"/>
        </w:rPr>
        <w:t xml:space="preserve"> CSI-RS resources/resource sets (N = N</w:t>
      </w:r>
      <w:r>
        <w:rPr>
          <w:rFonts w:eastAsia="微软雅黑"/>
          <w:szCs w:val="20"/>
          <w:vertAlign w:val="subscript"/>
        </w:rPr>
        <w:t>TRP</w:t>
      </w:r>
      <w:r>
        <w:rPr>
          <w:rFonts w:eastAsia="微软雅黑"/>
          <w:szCs w:val="20"/>
        </w:rPr>
        <w:t xml:space="preserve">). With the knowledge of all the information, it enables the </w:t>
      </w:r>
      <w:proofErr w:type="spellStart"/>
      <w:r>
        <w:rPr>
          <w:rFonts w:eastAsia="微软雅黑"/>
          <w:szCs w:val="20"/>
        </w:rPr>
        <w:t>gNB</w:t>
      </w:r>
      <w:proofErr w:type="spellEnd"/>
      <w:r>
        <w:rPr>
          <w:rFonts w:eastAsia="微软雅黑"/>
          <w:szCs w:val="20"/>
        </w:rPr>
        <w:t xml:space="preserve"> to better perform CJT pre-compensation and TRP selection. Besides, since the reporting information is limited for one CSI-RS resource/resource set, </w:t>
      </w:r>
      <w:r>
        <w:rPr>
          <w:rFonts w:eastAsia="微软雅黑" w:hint="eastAsia"/>
          <w:szCs w:val="20"/>
        </w:rPr>
        <w:t>Opt</w:t>
      </w:r>
      <w:r>
        <w:rPr>
          <w:rFonts w:eastAsia="微软雅黑"/>
          <w:szCs w:val="20"/>
        </w:rPr>
        <w:t>1 does not increase much reporting overhead, especially considering the CJT calibration reporting is aperiodic.</w:t>
      </w:r>
    </w:p>
    <w:p w:rsidR="009B70BD" w:rsidRDefault="0051047F">
      <w:pPr>
        <w:tabs>
          <w:tab w:val="left" w:pos="420"/>
        </w:tabs>
        <w:snapToGrid w:val="0"/>
        <w:spacing w:beforeLines="50" w:before="120" w:afterLines="50" w:after="120" w:line="300" w:lineRule="auto"/>
        <w:rPr>
          <w:rFonts w:eastAsia="微软雅黑"/>
          <w:i/>
          <w:szCs w:val="20"/>
        </w:rPr>
      </w:pPr>
      <w:r>
        <w:rPr>
          <w:rFonts w:eastAsia="微软雅黑"/>
          <w:b/>
          <w:i/>
          <w:szCs w:val="20"/>
        </w:rPr>
        <w:t xml:space="preserve">Proposal </w:t>
      </w:r>
      <w:r w:rsidR="00D46CEA">
        <w:rPr>
          <w:rFonts w:eastAsia="微软雅黑"/>
          <w:b/>
          <w:i/>
          <w:szCs w:val="20"/>
        </w:rPr>
        <w:t>16</w:t>
      </w:r>
      <w:r>
        <w:rPr>
          <w:rFonts w:eastAsia="微软雅黑"/>
          <w:b/>
          <w:i/>
          <w:szCs w:val="20"/>
        </w:rPr>
        <w:t>:</w:t>
      </w:r>
      <w:r>
        <w:rPr>
          <w:rFonts w:eastAsia="微软雅黑"/>
          <w:i/>
          <w:szCs w:val="20"/>
        </w:rPr>
        <w:t xml:space="preserve"> Regarding Rel-19 CJT calibration reporting, support</w:t>
      </w:r>
    </w:p>
    <w:p w:rsidR="009B70BD" w:rsidRDefault="0051047F">
      <w:pPr>
        <w:numPr>
          <w:ilvl w:val="0"/>
          <w:numId w:val="19"/>
        </w:numPr>
        <w:snapToGrid w:val="0"/>
        <w:spacing w:beforeLines="50" w:before="120" w:afterLines="50" w:after="120" w:line="300" w:lineRule="auto"/>
        <w:rPr>
          <w:rFonts w:eastAsia="微软雅黑"/>
          <w:szCs w:val="20"/>
        </w:rPr>
      </w:pPr>
      <w:r>
        <w:rPr>
          <w:rFonts w:eastAsia="微软雅黑" w:hint="eastAsia"/>
          <w:i/>
          <w:szCs w:val="20"/>
        </w:rPr>
        <w:t>O</w:t>
      </w:r>
      <w:r>
        <w:rPr>
          <w:rFonts w:eastAsia="微软雅黑"/>
          <w:i/>
          <w:szCs w:val="20"/>
        </w:rPr>
        <w:t>pt1: The UE reports for all the configured N</w:t>
      </w:r>
      <w:r>
        <w:rPr>
          <w:rFonts w:eastAsia="微软雅黑"/>
          <w:i/>
          <w:szCs w:val="20"/>
          <w:vertAlign w:val="subscript"/>
        </w:rPr>
        <w:t>TRP</w:t>
      </w:r>
      <w:r>
        <w:rPr>
          <w:rFonts w:eastAsia="微软雅黑"/>
          <w:i/>
          <w:szCs w:val="20"/>
        </w:rPr>
        <w:t xml:space="preserve"> CSI resources/resource sets.</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hint="eastAsia"/>
          <w:szCs w:val="20"/>
        </w:rPr>
        <w:t>In</w:t>
      </w:r>
      <w:r>
        <w:rPr>
          <w:rFonts w:eastAsia="微软雅黑"/>
          <w:szCs w:val="20"/>
        </w:rPr>
        <w:t xml:space="preserve"> RAN1#116 meeting, we reached the following three agreements on inter-TRP delay/frequency/phase reporting.</w:t>
      </w:r>
    </w:p>
    <w:tbl>
      <w:tblPr>
        <w:tblStyle w:val="af9"/>
        <w:tblW w:w="0" w:type="auto"/>
        <w:tblLook w:val="04A0" w:firstRow="1" w:lastRow="0" w:firstColumn="1" w:lastColumn="0" w:noHBand="0" w:noVBand="1"/>
      </w:tblPr>
      <w:tblGrid>
        <w:gridCol w:w="9350"/>
      </w:tblGrid>
      <w:tr w:rsidR="009B70BD">
        <w:tc>
          <w:tcPr>
            <w:tcW w:w="9350" w:type="dxa"/>
          </w:tcPr>
          <w:p w:rsidR="009B70BD" w:rsidRDefault="0051047F">
            <w:pPr>
              <w:pStyle w:val="0Maintext"/>
              <w:spacing w:after="0" w:afterAutospacing="0" w:line="300" w:lineRule="auto"/>
              <w:ind w:firstLine="0"/>
              <w:rPr>
                <w:rFonts w:eastAsia="等线" w:cs="Times New Roman"/>
                <w:u w:val="single"/>
                <w:lang w:val="en-US" w:eastAsia="zh-CN"/>
              </w:rPr>
            </w:pPr>
            <w:r>
              <w:rPr>
                <w:rFonts w:eastAsia="等线" w:cs="Times New Roman"/>
                <w:b/>
                <w:bCs/>
                <w:u w:val="single"/>
                <w:lang w:val="en-US" w:eastAsia="zh-CN"/>
              </w:rPr>
              <w:t xml:space="preserve">Agreement </w:t>
            </w:r>
            <w:r>
              <w:rPr>
                <w:b/>
                <w:u w:val="single"/>
              </w:rPr>
              <w:t>(RAN1#116)</w:t>
            </w:r>
          </w:p>
          <w:p w:rsidR="009B70BD" w:rsidRDefault="0051047F">
            <w:pPr>
              <w:snapToGrid w:val="0"/>
              <w:spacing w:after="0" w:line="300" w:lineRule="auto"/>
              <w:rPr>
                <w:rFonts w:eastAsia="Calibri"/>
                <w:szCs w:val="20"/>
              </w:rPr>
            </w:pPr>
            <w:r>
              <w:rPr>
                <w:rFonts w:eastAsia="Calibri"/>
                <w:szCs w:val="20"/>
              </w:rPr>
              <w:t>For the Rel-19 aperiodic standalone CJT calibration reporting, given the N</w:t>
            </w:r>
            <w:r>
              <w:rPr>
                <w:rFonts w:eastAsia="Calibri"/>
                <w:szCs w:val="20"/>
                <w:vertAlign w:val="subscript"/>
              </w:rPr>
              <w:t>TRP</w:t>
            </w:r>
            <w:r>
              <w:rPr>
                <w:rFonts w:eastAsia="Calibri"/>
                <w:szCs w:val="20"/>
              </w:rPr>
              <w:t xml:space="preserve"> configured NZP CSI-RS resources/resource sets and the selected N resources/resource sets, support reporting, in one CSI reporting instance, {(</w:t>
            </w:r>
            <w:proofErr w:type="spellStart"/>
            <w:proofErr w:type="gramStart"/>
            <w:r>
              <w:rPr>
                <w:rFonts w:eastAsia="Calibri"/>
                <w:szCs w:val="20"/>
              </w:rPr>
              <w:t>D</w:t>
            </w:r>
            <w:r>
              <w:rPr>
                <w:rFonts w:eastAsia="Calibri"/>
                <w:szCs w:val="20"/>
                <w:vertAlign w:val="subscript"/>
              </w:rPr>
              <w:t>n,offset</w:t>
            </w:r>
            <w:proofErr w:type="spellEnd"/>
            <w:proofErr w:type="gramEnd"/>
            <w:r>
              <w:rPr>
                <w:rFonts w:eastAsia="Calibri"/>
                <w:szCs w:val="20"/>
              </w:rPr>
              <w:t xml:space="preserve">, </w:t>
            </w:r>
            <w:proofErr w:type="spellStart"/>
            <w:r>
              <w:rPr>
                <w:rFonts w:eastAsia="Calibri"/>
                <w:szCs w:val="20"/>
              </w:rPr>
              <w:t>d</w:t>
            </w:r>
            <w:r>
              <w:rPr>
                <w:rFonts w:eastAsia="Calibri"/>
                <w:szCs w:val="20"/>
                <w:vertAlign w:val="subscript"/>
              </w:rPr>
              <w:t>n</w:t>
            </w:r>
            <w:proofErr w:type="spellEnd"/>
            <w:r>
              <w:rPr>
                <w:rFonts w:eastAsia="Calibri"/>
                <w:szCs w:val="20"/>
              </w:rPr>
              <w:t>), n=0, 1, …, N – 1} where</w:t>
            </w:r>
          </w:p>
          <w:p w:rsidR="009B70BD" w:rsidRDefault="0051047F">
            <w:pPr>
              <w:numPr>
                <w:ilvl w:val="0"/>
                <w:numId w:val="20"/>
              </w:numPr>
              <w:snapToGrid w:val="0"/>
              <w:spacing w:after="0" w:line="300" w:lineRule="auto"/>
              <w:rPr>
                <w:rFonts w:eastAsia="Calibri"/>
                <w:szCs w:val="20"/>
              </w:rPr>
            </w:pPr>
            <w:proofErr w:type="spellStart"/>
            <w:proofErr w:type="gramStart"/>
            <w:r>
              <w:rPr>
                <w:rFonts w:eastAsia="Calibri"/>
                <w:szCs w:val="20"/>
              </w:rPr>
              <w:t>D</w:t>
            </w:r>
            <w:r>
              <w:rPr>
                <w:rFonts w:eastAsia="Calibri"/>
                <w:szCs w:val="20"/>
                <w:vertAlign w:val="subscript"/>
              </w:rPr>
              <w:t>n,offset</w:t>
            </w:r>
            <w:proofErr w:type="spellEnd"/>
            <w:proofErr w:type="gramEnd"/>
            <w:r>
              <w:rPr>
                <w:rFonts w:eastAsia="Calibri"/>
                <w:szCs w:val="20"/>
              </w:rPr>
              <w:t xml:space="preserve"> is a B-bit indicator representing the delay offset associated with the n-</w:t>
            </w:r>
            <w:proofErr w:type="spellStart"/>
            <w:r>
              <w:rPr>
                <w:rFonts w:eastAsia="Calibri"/>
                <w:szCs w:val="20"/>
              </w:rPr>
              <w:t>th</w:t>
            </w:r>
            <w:proofErr w:type="spellEnd"/>
            <w:r>
              <w:rPr>
                <w:rFonts w:eastAsia="Calibri"/>
                <w:szCs w:val="20"/>
              </w:rPr>
              <w:t xml:space="preserve"> CSI-RS resource/resource set</w:t>
            </w:r>
          </w:p>
          <w:p w:rsidR="009B70BD" w:rsidRDefault="0051047F">
            <w:pPr>
              <w:numPr>
                <w:ilvl w:val="1"/>
                <w:numId w:val="20"/>
              </w:numPr>
              <w:snapToGrid w:val="0"/>
              <w:spacing w:after="0" w:line="300" w:lineRule="auto"/>
              <w:rPr>
                <w:rFonts w:eastAsia="Calibri"/>
                <w:szCs w:val="20"/>
              </w:rPr>
            </w:pPr>
            <w:r>
              <w:rPr>
                <w:rFonts w:eastAsia="Calibri"/>
                <w:szCs w:val="20"/>
              </w:rPr>
              <w:t xml:space="preserve">For the reference CSI-RS resource/resource set </w:t>
            </w:r>
            <w:proofErr w:type="spellStart"/>
            <w:r>
              <w:rPr>
                <w:rFonts w:eastAsia="Calibri"/>
                <w:szCs w:val="20"/>
              </w:rPr>
              <w:t>nref</w:t>
            </w:r>
            <w:proofErr w:type="spellEnd"/>
            <w:r>
              <w:rPr>
                <w:rFonts w:eastAsia="Calibri"/>
                <w:szCs w:val="20"/>
              </w:rPr>
              <w:t xml:space="preserve">, the value of </w:t>
            </w:r>
            <w:proofErr w:type="spellStart"/>
            <w:proofErr w:type="gramStart"/>
            <w:r>
              <w:rPr>
                <w:rFonts w:eastAsia="Calibri"/>
                <w:szCs w:val="20"/>
              </w:rPr>
              <w:t>D</w:t>
            </w:r>
            <w:r>
              <w:rPr>
                <w:rFonts w:eastAsia="Calibri"/>
                <w:szCs w:val="20"/>
                <w:vertAlign w:val="subscript"/>
              </w:rPr>
              <w:t>nref,offset</w:t>
            </w:r>
            <w:proofErr w:type="spellEnd"/>
            <w:proofErr w:type="gramEnd"/>
            <w:r>
              <w:rPr>
                <w:rFonts w:eastAsia="Calibri"/>
                <w:szCs w:val="20"/>
              </w:rPr>
              <w:t xml:space="preserve"> is assumed 0 and not reported</w:t>
            </w:r>
          </w:p>
          <w:p w:rsidR="009B70BD" w:rsidRDefault="0051047F">
            <w:pPr>
              <w:numPr>
                <w:ilvl w:val="2"/>
                <w:numId w:val="20"/>
              </w:numPr>
              <w:snapToGrid w:val="0"/>
              <w:spacing w:after="0" w:line="300" w:lineRule="auto"/>
              <w:rPr>
                <w:rFonts w:eastAsia="Calibri"/>
                <w:szCs w:val="20"/>
              </w:rPr>
            </w:pPr>
            <w:r>
              <w:rPr>
                <w:rFonts w:eastAsia="Calibri"/>
                <w:szCs w:val="20"/>
              </w:rPr>
              <w:t xml:space="preserve">FFS (by RAN1#116bis): Whether </w:t>
            </w:r>
            <w:proofErr w:type="spellStart"/>
            <w:r>
              <w:rPr>
                <w:rFonts w:eastAsia="Calibri"/>
                <w:szCs w:val="20"/>
              </w:rPr>
              <w:t>nref</w:t>
            </w:r>
            <w:proofErr w:type="spellEnd"/>
            <w:r>
              <w:rPr>
                <w:rFonts w:eastAsia="Calibri"/>
                <w:szCs w:val="20"/>
              </w:rPr>
              <w:t xml:space="preserve"> is fixed, NW-configured, or is included in the report (selected by the UE)</w:t>
            </w:r>
          </w:p>
          <w:p w:rsidR="009B70BD" w:rsidRDefault="0051047F">
            <w:pPr>
              <w:numPr>
                <w:ilvl w:val="1"/>
                <w:numId w:val="20"/>
              </w:numPr>
              <w:snapToGrid w:val="0"/>
              <w:spacing w:after="0" w:line="300" w:lineRule="auto"/>
              <w:rPr>
                <w:rFonts w:eastAsia="Calibri"/>
                <w:szCs w:val="20"/>
              </w:rPr>
            </w:pPr>
            <w:r>
              <w:rPr>
                <w:rFonts w:eastAsia="Calibri"/>
                <w:szCs w:val="20"/>
              </w:rPr>
              <w:t xml:space="preserve">The value of </w:t>
            </w:r>
            <w:proofErr w:type="spellStart"/>
            <w:proofErr w:type="gramStart"/>
            <w:r>
              <w:rPr>
                <w:rFonts w:eastAsia="Calibri"/>
                <w:szCs w:val="20"/>
              </w:rPr>
              <w:t>D</w:t>
            </w:r>
            <w:r>
              <w:rPr>
                <w:rFonts w:eastAsia="Calibri"/>
                <w:szCs w:val="20"/>
                <w:vertAlign w:val="subscript"/>
              </w:rPr>
              <w:t>n,offset</w:t>
            </w:r>
            <w:proofErr w:type="spellEnd"/>
            <w:proofErr w:type="gramEnd"/>
            <w:r>
              <w:rPr>
                <w:rFonts w:eastAsia="Calibri"/>
                <w:szCs w:val="20"/>
              </w:rPr>
              <w:t xml:space="preserve"> indicates the interval </w:t>
            </w:r>
            <m:oMath>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i</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i+1</m:t>
                  </m:r>
                </m:sub>
              </m:sSub>
              <m:r>
                <w:rPr>
                  <w:rFonts w:ascii="Cambria Math" w:eastAsia="Calibri" w:hAnsi="Cambria Math"/>
                  <w:szCs w:val="20"/>
                </w:rPr>
                <m:t>)</m:t>
              </m:r>
            </m:oMath>
            <w:r>
              <w:rPr>
                <w:rFonts w:eastAsia="Calibri"/>
                <w:szCs w:val="20"/>
              </w:rPr>
              <w:t xml:space="preserve"> which the delay offset falls into</w:t>
            </w:r>
          </w:p>
          <w:p w:rsidR="009B70BD" w:rsidRDefault="0051047F">
            <w:pPr>
              <w:numPr>
                <w:ilvl w:val="2"/>
                <w:numId w:val="20"/>
              </w:numPr>
              <w:snapToGrid w:val="0"/>
              <w:spacing w:after="0" w:line="300" w:lineRule="auto"/>
              <w:rPr>
                <w:rFonts w:eastAsia="Calibri"/>
                <w:szCs w:val="20"/>
              </w:rPr>
            </w:pPr>
            <w:r>
              <w:rPr>
                <w:rFonts w:eastAsia="Calibri"/>
                <w:szCs w:val="20"/>
              </w:rPr>
              <w:t>Down-select, by RAN1#116bis, from the following</w:t>
            </w:r>
          </w:p>
          <w:p w:rsidR="009B70BD" w:rsidRDefault="0051047F">
            <w:pPr>
              <w:numPr>
                <w:ilvl w:val="3"/>
                <w:numId w:val="20"/>
              </w:numPr>
              <w:snapToGrid w:val="0"/>
              <w:spacing w:after="0" w:line="300" w:lineRule="auto"/>
              <w:rPr>
                <w:rFonts w:eastAsia="Calibri"/>
                <w:szCs w:val="20"/>
              </w:rPr>
            </w:pPr>
            <w:r>
              <w:rPr>
                <w:rFonts w:eastAsia="Calibri"/>
                <w:szCs w:val="20"/>
              </w:rPr>
              <w:t xml:space="preserve">Alt1: </w:t>
            </w:r>
            <m:oMath>
              <m:d>
                <m:dPr>
                  <m:begChr m:val="{"/>
                  <m:endChr m:val="}"/>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0</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1</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M-2</m:t>
                      </m:r>
                    </m:sub>
                  </m:sSub>
                </m:e>
              </m:d>
            </m:oMath>
            <w:r>
              <w:rPr>
                <w:rFonts w:eastAsia="Calibri"/>
                <w:szCs w:val="20"/>
              </w:rPr>
              <w:t xml:space="preserve"> is uniformly spaced between 0 and A</w:t>
            </w:r>
            <w:r>
              <w:rPr>
                <w:rFonts w:eastAsia="Calibri"/>
                <w:szCs w:val="20"/>
                <w:vertAlign w:val="subscript"/>
              </w:rPr>
              <w:t>D</w:t>
            </w:r>
            <w:r>
              <w:rPr>
                <w:rFonts w:eastAsia="Calibri"/>
                <w:szCs w:val="20"/>
              </w:rPr>
              <w:t xml:space="preserve">, i.e. </w:t>
            </w:r>
            <m:oMath>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i</m:t>
                  </m:r>
                </m:sub>
              </m:sSub>
              <m:r>
                <w:rPr>
                  <w:rFonts w:ascii="Cambria Math" w:eastAsia="Calibri" w:hAnsi="Cambria Math"/>
                  <w:szCs w:val="20"/>
                </w:rPr>
                <m:t>=i×</m:t>
              </m:r>
              <m:f>
                <m:fPr>
                  <m:ctrlPr>
                    <w:rPr>
                      <w:rFonts w:ascii="Cambria Math" w:eastAsia="Calibri" w:hAnsi="Cambria Math"/>
                      <w:i/>
                      <w:szCs w:val="20"/>
                    </w:rPr>
                  </m:ctrlPr>
                </m:fPr>
                <m:num>
                  <m:sSub>
                    <m:sSubPr>
                      <m:ctrlPr>
                        <w:rPr>
                          <w:rFonts w:ascii="Cambria Math" w:eastAsia="Calibri" w:hAnsi="Cambria Math"/>
                          <w:i/>
                          <w:szCs w:val="20"/>
                        </w:rPr>
                      </m:ctrlPr>
                    </m:sSubPr>
                    <m:e>
                      <m:r>
                        <w:rPr>
                          <w:rFonts w:ascii="Cambria Math" w:eastAsia="Calibri" w:hAnsi="Cambria Math"/>
                          <w:szCs w:val="20"/>
                        </w:rPr>
                        <m:t>A</m:t>
                      </m:r>
                    </m:e>
                    <m:sub>
                      <m:r>
                        <w:rPr>
                          <w:rFonts w:ascii="Cambria Math" w:eastAsia="Calibri" w:hAnsi="Cambria Math"/>
                          <w:szCs w:val="20"/>
                        </w:rPr>
                        <m:t>D</m:t>
                      </m:r>
                    </m:sub>
                  </m:sSub>
                </m:num>
                <m:den>
                  <m:r>
                    <w:rPr>
                      <w:rFonts w:ascii="Cambria Math" w:eastAsia="Calibri" w:hAnsi="Cambria Math"/>
                      <w:szCs w:val="20"/>
                    </w:rPr>
                    <m:t>M-2</m:t>
                  </m:r>
                </m:den>
              </m:f>
              <m:r>
                <w:rPr>
                  <w:rFonts w:ascii="Cambria Math" w:eastAsia="Calibri" w:hAnsi="Cambria Math"/>
                  <w:szCs w:val="20"/>
                </w:rPr>
                <m:t>,   i=0,1,…, M-2</m:t>
              </m:r>
            </m:oMath>
            <w:r>
              <w:rPr>
                <w:rFonts w:eastAsia="Calibri"/>
                <w:szCs w:val="20"/>
              </w:rPr>
              <w:t xml:space="preserve">, with </w:t>
            </w:r>
            <m:oMath>
              <m:r>
                <w:rPr>
                  <w:rFonts w:ascii="Cambria Math" w:eastAsia="Calibri" w:hAnsi="Cambria Math"/>
                  <w:szCs w:val="20"/>
                </w:rPr>
                <m:t>M=</m:t>
              </m:r>
              <m:sSup>
                <m:sSupPr>
                  <m:ctrlPr>
                    <w:rPr>
                      <w:rFonts w:ascii="Cambria Math" w:eastAsia="Calibri" w:hAnsi="Cambria Math"/>
                      <w:i/>
                      <w:szCs w:val="20"/>
                    </w:rPr>
                  </m:ctrlPr>
                </m:sSupPr>
                <m:e>
                  <m:r>
                    <w:rPr>
                      <w:rFonts w:ascii="Cambria Math" w:eastAsia="Calibri" w:hAnsi="Cambria Math"/>
                      <w:szCs w:val="20"/>
                    </w:rPr>
                    <m:t>2</m:t>
                  </m:r>
                </m:e>
                <m:sup>
                  <m:r>
                    <w:rPr>
                      <w:rFonts w:ascii="Cambria Math" w:eastAsia="Calibri" w:hAnsi="Cambria Math"/>
                      <w:szCs w:val="20"/>
                    </w:rPr>
                    <m:t>B</m:t>
                  </m:r>
                </m:sup>
              </m:sSup>
            </m:oMath>
          </w:p>
          <w:p w:rsidR="009B70BD" w:rsidRDefault="0051047F">
            <w:pPr>
              <w:numPr>
                <w:ilvl w:val="3"/>
                <w:numId w:val="20"/>
              </w:numPr>
              <w:snapToGrid w:val="0"/>
              <w:spacing w:after="0" w:line="300" w:lineRule="auto"/>
              <w:rPr>
                <w:rFonts w:eastAsia="Calibri"/>
                <w:szCs w:val="20"/>
              </w:rPr>
            </w:pPr>
            <w:r>
              <w:rPr>
                <w:rFonts w:eastAsia="Calibri"/>
                <w:szCs w:val="20"/>
              </w:rPr>
              <w:t xml:space="preserve">Alt2: </w:t>
            </w:r>
            <m:oMath>
              <m:d>
                <m:dPr>
                  <m:begChr m:val="{"/>
                  <m:endChr m:val="}"/>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0</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1</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M-2</m:t>
                      </m:r>
                    </m:sub>
                  </m:sSub>
                </m:e>
              </m:d>
            </m:oMath>
            <w:r>
              <w:rPr>
                <w:rFonts w:eastAsia="Calibri"/>
                <w:szCs w:val="20"/>
              </w:rPr>
              <w:t xml:space="preserve"> is uniformly spaced between -A</w:t>
            </w:r>
            <w:r>
              <w:rPr>
                <w:rFonts w:eastAsia="Calibri"/>
                <w:szCs w:val="20"/>
                <w:vertAlign w:val="subscript"/>
              </w:rPr>
              <w:t>D</w:t>
            </w:r>
            <w:r>
              <w:rPr>
                <w:rFonts w:eastAsia="Calibri"/>
                <w:szCs w:val="20"/>
              </w:rPr>
              <w:t xml:space="preserve"> and A</w:t>
            </w:r>
            <w:r>
              <w:rPr>
                <w:rFonts w:eastAsia="Calibri"/>
                <w:szCs w:val="20"/>
                <w:vertAlign w:val="subscript"/>
              </w:rPr>
              <w:t>D</w:t>
            </w:r>
            <w:r>
              <w:rPr>
                <w:rFonts w:eastAsia="Calibri"/>
                <w:szCs w:val="20"/>
              </w:rPr>
              <w:t xml:space="preserve">, i.e. </w:t>
            </w:r>
            <m:oMath>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i</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-A</m:t>
                  </m:r>
                </m:e>
                <m:sub>
                  <m:r>
                    <w:rPr>
                      <w:rFonts w:ascii="Cambria Math" w:eastAsia="Calibri" w:hAnsi="Cambria Math"/>
                      <w:szCs w:val="20"/>
                    </w:rPr>
                    <m:t>D</m:t>
                  </m:r>
                </m:sub>
              </m:sSub>
              <m:r>
                <w:rPr>
                  <w:rFonts w:ascii="Cambria Math" w:eastAsia="Calibri" w:hAnsi="Cambria Math"/>
                  <w:szCs w:val="20"/>
                </w:rPr>
                <m:t>+i×</m:t>
              </m:r>
              <m:f>
                <m:fPr>
                  <m:ctrlPr>
                    <w:rPr>
                      <w:rFonts w:ascii="Cambria Math" w:eastAsia="Calibri" w:hAnsi="Cambria Math"/>
                      <w:i/>
                      <w:szCs w:val="20"/>
                    </w:rPr>
                  </m:ctrlPr>
                </m:fPr>
                <m:num>
                  <m:r>
                    <w:rPr>
                      <w:rFonts w:ascii="Cambria Math" w:eastAsia="Calibri" w:hAnsi="Cambria Math"/>
                      <w:szCs w:val="20"/>
                    </w:rPr>
                    <m:t>2</m:t>
                  </m:r>
                  <m:sSub>
                    <m:sSubPr>
                      <m:ctrlPr>
                        <w:rPr>
                          <w:rFonts w:ascii="Cambria Math" w:eastAsia="Calibri" w:hAnsi="Cambria Math"/>
                          <w:i/>
                          <w:szCs w:val="20"/>
                        </w:rPr>
                      </m:ctrlPr>
                    </m:sSubPr>
                    <m:e>
                      <m:r>
                        <w:rPr>
                          <w:rFonts w:ascii="Cambria Math" w:eastAsia="Calibri" w:hAnsi="Cambria Math"/>
                          <w:szCs w:val="20"/>
                        </w:rPr>
                        <m:t>A</m:t>
                      </m:r>
                    </m:e>
                    <m:sub>
                      <m:r>
                        <w:rPr>
                          <w:rFonts w:ascii="Cambria Math" w:eastAsia="Calibri" w:hAnsi="Cambria Math"/>
                          <w:szCs w:val="20"/>
                        </w:rPr>
                        <m:t>D</m:t>
                      </m:r>
                    </m:sub>
                  </m:sSub>
                </m:num>
                <m:den>
                  <m:r>
                    <w:rPr>
                      <w:rFonts w:ascii="Cambria Math" w:eastAsia="Calibri" w:hAnsi="Cambria Math"/>
                      <w:szCs w:val="20"/>
                    </w:rPr>
                    <m:t>M-2</m:t>
                  </m:r>
                </m:den>
              </m:f>
              <m:r>
                <w:rPr>
                  <w:rFonts w:ascii="Cambria Math" w:eastAsia="Calibri" w:hAnsi="Cambria Math"/>
                  <w:szCs w:val="20"/>
                </w:rPr>
                <m:t>,   i=0,1,…, M-2</m:t>
              </m:r>
            </m:oMath>
            <w:r>
              <w:rPr>
                <w:rFonts w:eastAsia="Calibri"/>
                <w:szCs w:val="20"/>
              </w:rPr>
              <w:t xml:space="preserve">, with </w:t>
            </w:r>
            <m:oMath>
              <m:r>
                <w:rPr>
                  <w:rFonts w:ascii="Cambria Math" w:eastAsia="Calibri" w:hAnsi="Cambria Math"/>
                  <w:szCs w:val="20"/>
                </w:rPr>
                <m:t>M=</m:t>
              </m:r>
              <m:sSup>
                <m:sSupPr>
                  <m:ctrlPr>
                    <w:rPr>
                      <w:rFonts w:ascii="Cambria Math" w:eastAsia="Calibri" w:hAnsi="Cambria Math"/>
                      <w:i/>
                      <w:szCs w:val="20"/>
                    </w:rPr>
                  </m:ctrlPr>
                </m:sSupPr>
                <m:e>
                  <m:r>
                    <w:rPr>
                      <w:rFonts w:ascii="Cambria Math" w:eastAsia="Calibri" w:hAnsi="Cambria Math"/>
                      <w:szCs w:val="20"/>
                    </w:rPr>
                    <m:t>2</m:t>
                  </m:r>
                </m:e>
                <m:sup>
                  <m:r>
                    <w:rPr>
                      <w:rFonts w:ascii="Cambria Math" w:eastAsia="Calibri" w:hAnsi="Cambria Math"/>
                      <w:szCs w:val="20"/>
                    </w:rPr>
                    <m:t>B</m:t>
                  </m:r>
                </m:sup>
              </m:sSup>
            </m:oMath>
          </w:p>
          <w:p w:rsidR="009B70BD" w:rsidRDefault="0051047F">
            <w:pPr>
              <w:numPr>
                <w:ilvl w:val="2"/>
                <w:numId w:val="20"/>
              </w:numPr>
              <w:snapToGrid w:val="0"/>
              <w:spacing w:after="0" w:line="300" w:lineRule="auto"/>
              <w:rPr>
                <w:rFonts w:eastAsia="Calibri"/>
                <w:szCs w:val="20"/>
              </w:rPr>
            </w:pPr>
            <w:r>
              <w:rPr>
                <w:rFonts w:eastAsia="Calibri"/>
                <w:szCs w:val="20"/>
              </w:rPr>
              <w:t xml:space="preserve">Each interval </w:t>
            </w:r>
            <m:oMath>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i</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i+1</m:t>
                  </m:r>
                </m:sub>
              </m:sSub>
              <m:r>
                <w:rPr>
                  <w:rFonts w:ascii="Cambria Math" w:eastAsia="Calibri" w:hAnsi="Cambria Math"/>
                  <w:szCs w:val="20"/>
                </w:rPr>
                <m:t>)</m:t>
              </m:r>
            </m:oMath>
            <w:r>
              <w:rPr>
                <w:rFonts w:eastAsia="Calibri"/>
                <w:szCs w:val="20"/>
              </w:rPr>
              <w:t xml:space="preserve">  corresponds to a codepoint, and </w:t>
            </w:r>
            <m:oMath>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0</m:t>
                  </m:r>
                </m:sub>
              </m:sSub>
              <m:r>
                <w:rPr>
                  <w:rFonts w:ascii="Cambria Math" w:eastAsia="Calibri" w:hAnsi="Cambria Math"/>
                  <w:szCs w:val="20"/>
                </w:rPr>
                <m:t>)</m:t>
              </m:r>
            </m:oMath>
            <w:r>
              <w:rPr>
                <w:rFonts w:eastAsia="Calibri"/>
                <w:szCs w:val="20"/>
              </w:rPr>
              <w:t xml:space="preserve"> and/or </w:t>
            </w:r>
            <m:oMath>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δ</m:t>
                  </m:r>
                </m:e>
                <m:sub>
                  <m:r>
                    <w:rPr>
                      <w:rFonts w:ascii="Cambria Math" w:eastAsia="Calibri" w:hAnsi="Cambria Math"/>
                      <w:szCs w:val="20"/>
                    </w:rPr>
                    <m:t>M-2</m:t>
                  </m:r>
                </m:sub>
              </m:sSub>
              <m:r>
                <w:rPr>
                  <w:rFonts w:ascii="Cambria Math" w:eastAsia="Calibri" w:hAnsi="Cambria Math"/>
                  <w:szCs w:val="20"/>
                </w:rPr>
                <m:t>,∞)</m:t>
              </m:r>
            </m:oMath>
            <w:r>
              <w:rPr>
                <w:rFonts w:eastAsia="Calibri"/>
                <w:szCs w:val="20"/>
              </w:rPr>
              <w:t xml:space="preserve"> represent ‘out-of-range’ </w:t>
            </w:r>
          </w:p>
          <w:p w:rsidR="009B70BD" w:rsidRDefault="0051047F">
            <w:pPr>
              <w:numPr>
                <w:ilvl w:val="2"/>
                <w:numId w:val="20"/>
              </w:numPr>
              <w:snapToGrid w:val="0"/>
              <w:spacing w:after="0" w:line="300" w:lineRule="auto"/>
              <w:rPr>
                <w:rFonts w:eastAsia="Calibri"/>
                <w:szCs w:val="20"/>
              </w:rPr>
            </w:pPr>
            <w:r>
              <w:rPr>
                <w:rFonts w:eastAsia="Calibri"/>
                <w:szCs w:val="20"/>
              </w:rPr>
              <w:t>FFS (by RAN1#116bis): supported quantization alphabet(s) (including A</w:t>
            </w:r>
            <w:r>
              <w:rPr>
                <w:rFonts w:eastAsia="Calibri"/>
                <w:szCs w:val="20"/>
                <w:vertAlign w:val="subscript"/>
              </w:rPr>
              <w:t>D</w:t>
            </w:r>
            <w:r>
              <w:rPr>
                <w:rFonts w:eastAsia="Calibri"/>
                <w:szCs w:val="20"/>
              </w:rPr>
              <w:t>, M)</w:t>
            </w:r>
          </w:p>
          <w:p w:rsidR="009B70BD" w:rsidRDefault="0051047F">
            <w:pPr>
              <w:numPr>
                <w:ilvl w:val="0"/>
                <w:numId w:val="20"/>
              </w:numPr>
              <w:snapToGrid w:val="0"/>
              <w:spacing w:after="0" w:line="300" w:lineRule="auto"/>
              <w:rPr>
                <w:rFonts w:eastAsia="Calibri"/>
                <w:szCs w:val="20"/>
              </w:rPr>
            </w:pPr>
            <w:proofErr w:type="spellStart"/>
            <w:r>
              <w:rPr>
                <w:rFonts w:eastAsia="Calibri"/>
                <w:szCs w:val="20"/>
              </w:rPr>
              <w:t>d</w:t>
            </w:r>
            <w:r>
              <w:rPr>
                <w:rFonts w:eastAsia="Calibri"/>
                <w:szCs w:val="20"/>
                <w:vertAlign w:val="subscript"/>
              </w:rPr>
              <w:t>n</w:t>
            </w:r>
            <w:proofErr w:type="spellEnd"/>
            <w:r>
              <w:rPr>
                <w:rFonts w:eastAsia="Calibri"/>
                <w:szCs w:val="20"/>
                <w:vertAlign w:val="subscript"/>
              </w:rPr>
              <w:t xml:space="preserve"> </w:t>
            </w:r>
            <w:r>
              <w:rPr>
                <w:rFonts w:eastAsia="Calibri"/>
                <w:szCs w:val="20"/>
              </w:rPr>
              <w:t>is a 1-bit indicator associated with the n-</w:t>
            </w:r>
            <w:proofErr w:type="spellStart"/>
            <w:r>
              <w:rPr>
                <w:rFonts w:eastAsia="Calibri"/>
                <w:szCs w:val="20"/>
              </w:rPr>
              <w:t>th</w:t>
            </w:r>
            <w:proofErr w:type="spellEnd"/>
            <w:r>
              <w:rPr>
                <w:rFonts w:eastAsia="Calibri"/>
                <w:szCs w:val="20"/>
              </w:rPr>
              <w:t xml:space="preserve"> CSI-RS resource/resource set, indicating whether the measured delay offset, plus delay spread, is inside or outside a pre-defined range/interval</w:t>
            </w:r>
          </w:p>
          <w:p w:rsidR="009B70BD" w:rsidRDefault="0051047F">
            <w:pPr>
              <w:numPr>
                <w:ilvl w:val="1"/>
                <w:numId w:val="20"/>
              </w:numPr>
              <w:snapToGrid w:val="0"/>
              <w:spacing w:after="0" w:line="300" w:lineRule="auto"/>
              <w:rPr>
                <w:rFonts w:eastAsia="Calibri"/>
                <w:szCs w:val="20"/>
              </w:rPr>
            </w:pPr>
            <w:r>
              <w:rPr>
                <w:rFonts w:eastAsia="Calibri"/>
                <w:szCs w:val="20"/>
              </w:rPr>
              <w:t>FFS (RAN1#116bis): The pre-defined range(s), e.g. CP length or its multiple</w:t>
            </w:r>
          </w:p>
          <w:p w:rsidR="009B70BD" w:rsidRDefault="0051047F">
            <w:pPr>
              <w:numPr>
                <w:ilvl w:val="0"/>
                <w:numId w:val="20"/>
              </w:numPr>
              <w:snapToGrid w:val="0"/>
              <w:spacing w:after="0" w:line="300" w:lineRule="auto"/>
              <w:rPr>
                <w:bCs/>
                <w:szCs w:val="20"/>
              </w:rPr>
            </w:pPr>
            <w:r>
              <w:rPr>
                <w:bCs/>
                <w:szCs w:val="20"/>
              </w:rPr>
              <w:lastRenderedPageBreak/>
              <w:t>FFS: Detailed UCI design on codepoint encoding details</w:t>
            </w:r>
          </w:p>
          <w:p w:rsidR="009B70BD" w:rsidRDefault="0051047F">
            <w:pPr>
              <w:numPr>
                <w:ilvl w:val="0"/>
                <w:numId w:val="20"/>
              </w:numPr>
              <w:snapToGrid w:val="0"/>
              <w:spacing w:after="0" w:line="300" w:lineRule="auto"/>
              <w:rPr>
                <w:bCs/>
                <w:szCs w:val="20"/>
              </w:rPr>
            </w:pPr>
            <w:r>
              <w:rPr>
                <w:bCs/>
                <w:szCs w:val="20"/>
              </w:rPr>
              <w:t>FFS: The need for a new QCL assumption</w:t>
            </w:r>
          </w:p>
          <w:p w:rsidR="009B70BD" w:rsidRDefault="0051047F">
            <w:pPr>
              <w:pStyle w:val="0Maintext"/>
              <w:spacing w:after="0" w:afterAutospacing="0" w:line="300" w:lineRule="auto"/>
              <w:ind w:firstLine="0"/>
              <w:rPr>
                <w:rFonts w:eastAsia="等线"/>
                <w:u w:val="single"/>
                <w:lang w:val="en-US" w:eastAsia="zh-CN"/>
              </w:rPr>
            </w:pPr>
            <w:r>
              <w:rPr>
                <w:rFonts w:eastAsia="等线"/>
                <w:b/>
                <w:bCs/>
                <w:u w:val="single"/>
                <w:lang w:val="en-US" w:eastAsia="zh-CN"/>
              </w:rPr>
              <w:t xml:space="preserve">Agreement </w:t>
            </w:r>
            <w:r>
              <w:rPr>
                <w:b/>
                <w:u w:val="single"/>
              </w:rPr>
              <w:t>(RAN1#116)</w:t>
            </w:r>
          </w:p>
          <w:p w:rsidR="009B70BD" w:rsidRDefault="0051047F">
            <w:pPr>
              <w:snapToGrid w:val="0"/>
              <w:spacing w:after="0" w:line="300" w:lineRule="auto"/>
              <w:rPr>
                <w:rFonts w:eastAsia="Calibri"/>
              </w:rPr>
            </w:pPr>
            <w:r>
              <w:rPr>
                <w:rFonts w:eastAsia="Calibri"/>
              </w:rPr>
              <w:t>For the Rel-19 aperiodic standalone CJT calibration reporting, given the N</w:t>
            </w:r>
            <w:r>
              <w:rPr>
                <w:rFonts w:eastAsia="Calibri"/>
                <w:vertAlign w:val="subscript"/>
              </w:rPr>
              <w:t>TRP</w:t>
            </w:r>
            <w:r>
              <w:rPr>
                <w:rFonts w:eastAsia="Calibri"/>
              </w:rPr>
              <w:t xml:space="preserve"> configured NZP CSI-RS resources/resource sets and the selected N resources/resource sets, support reporting, in one CSI reporting instance, {</w:t>
            </w:r>
            <w:proofErr w:type="spellStart"/>
            <w:proofErr w:type="gramStart"/>
            <w:r>
              <w:rPr>
                <w:rFonts w:eastAsia="Calibri"/>
              </w:rPr>
              <w:t>FO</w:t>
            </w:r>
            <w:r>
              <w:rPr>
                <w:rFonts w:eastAsia="Calibri"/>
                <w:vertAlign w:val="subscript"/>
              </w:rPr>
              <w:t>n</w:t>
            </w:r>
            <w:proofErr w:type="spellEnd"/>
            <w:r>
              <w:rPr>
                <w:rFonts w:eastAsia="Calibri"/>
              </w:rPr>
              <w:t xml:space="preserve"> ,</w:t>
            </w:r>
            <w:proofErr w:type="gramEnd"/>
            <w:r>
              <w:rPr>
                <w:rFonts w:eastAsia="Calibri"/>
              </w:rPr>
              <w:t xml:space="preserve"> n=0, 1, …, N – 1, </w:t>
            </w:r>
            <w:proofErr w:type="spellStart"/>
            <w:r>
              <w:rPr>
                <w:rFonts w:eastAsia="Calibri"/>
              </w:rPr>
              <w:t>n≠nref</w:t>
            </w:r>
            <w:proofErr w:type="spellEnd"/>
            <w:r>
              <w:rPr>
                <w:rFonts w:eastAsia="Calibri"/>
              </w:rPr>
              <w:t xml:space="preserve">}, where </w:t>
            </w:r>
            <w:proofErr w:type="spellStart"/>
            <w:r>
              <w:rPr>
                <w:rFonts w:eastAsia="Calibri"/>
              </w:rPr>
              <w:t>FO</w:t>
            </w:r>
            <w:r>
              <w:rPr>
                <w:rFonts w:eastAsia="Calibri"/>
                <w:vertAlign w:val="subscript"/>
              </w:rPr>
              <w:t>n</w:t>
            </w:r>
            <w:proofErr w:type="spellEnd"/>
            <w:r>
              <w:rPr>
                <w:rFonts w:eastAsia="Calibri"/>
              </w:rPr>
              <w:t xml:space="preserve"> denotes the measured frequency offset associated with the n-</w:t>
            </w:r>
            <w:proofErr w:type="spellStart"/>
            <w:r>
              <w:rPr>
                <w:rFonts w:eastAsia="Calibri"/>
              </w:rPr>
              <w:t>th</w:t>
            </w:r>
            <w:proofErr w:type="spellEnd"/>
            <w:r>
              <w:rPr>
                <w:rFonts w:eastAsia="Calibri"/>
              </w:rPr>
              <w:t xml:space="preserve"> CSI-RS resource/resource set relative to the reference CSI-RS resource/resource set </w:t>
            </w:r>
            <w:proofErr w:type="spellStart"/>
            <w:r>
              <w:rPr>
                <w:rFonts w:eastAsia="Calibri"/>
              </w:rPr>
              <w:t>nref</w:t>
            </w:r>
            <w:proofErr w:type="spellEnd"/>
          </w:p>
          <w:p w:rsidR="009B70BD" w:rsidRDefault="0051047F">
            <w:pPr>
              <w:pStyle w:val="aff2"/>
              <w:numPr>
                <w:ilvl w:val="0"/>
                <w:numId w:val="20"/>
              </w:numPr>
              <w:snapToGrid w:val="0"/>
              <w:spacing w:after="0" w:line="300" w:lineRule="auto"/>
              <w:ind w:firstLineChars="0"/>
              <w:jc w:val="left"/>
              <w:rPr>
                <w:rFonts w:eastAsia="Calibri"/>
              </w:rPr>
            </w:pPr>
            <w:r>
              <w:rPr>
                <w:rFonts w:eastAsia="Calibri"/>
              </w:rPr>
              <w:t xml:space="preserve">For the reference CSI-RS resource/resource set </w:t>
            </w:r>
            <w:proofErr w:type="spellStart"/>
            <w:r>
              <w:rPr>
                <w:rFonts w:eastAsia="Calibri"/>
              </w:rPr>
              <w:t>nref</w:t>
            </w:r>
            <w:proofErr w:type="spellEnd"/>
            <w:r>
              <w:rPr>
                <w:rFonts w:eastAsia="Calibri"/>
              </w:rPr>
              <w:t xml:space="preserve">, the value of </w:t>
            </w:r>
            <w:proofErr w:type="spellStart"/>
            <w:r>
              <w:rPr>
                <w:rFonts w:eastAsia="Calibri"/>
              </w:rPr>
              <w:t>FO</w:t>
            </w:r>
            <w:r>
              <w:rPr>
                <w:rFonts w:eastAsia="Calibri"/>
                <w:vertAlign w:val="subscript"/>
              </w:rPr>
              <w:t>nref</w:t>
            </w:r>
            <w:proofErr w:type="spellEnd"/>
            <w:r>
              <w:rPr>
                <w:rFonts w:eastAsia="Calibri"/>
              </w:rPr>
              <w:t xml:space="preserve"> is assumed 0 and not reported</w:t>
            </w:r>
          </w:p>
          <w:p w:rsidR="009B70BD" w:rsidRDefault="0051047F">
            <w:pPr>
              <w:pStyle w:val="aff2"/>
              <w:numPr>
                <w:ilvl w:val="1"/>
                <w:numId w:val="20"/>
              </w:numPr>
              <w:snapToGrid w:val="0"/>
              <w:spacing w:after="0" w:line="300" w:lineRule="auto"/>
              <w:ind w:firstLineChars="0"/>
              <w:jc w:val="left"/>
              <w:rPr>
                <w:rFonts w:eastAsia="Calibri"/>
              </w:rPr>
            </w:pPr>
            <w:r>
              <w:rPr>
                <w:rFonts w:eastAsia="Calibri"/>
              </w:rPr>
              <w:t xml:space="preserve">FFS (by RAN1#116bis): Whether </w:t>
            </w:r>
            <w:proofErr w:type="spellStart"/>
            <w:r>
              <w:rPr>
                <w:rFonts w:eastAsia="Calibri"/>
              </w:rPr>
              <w:t>nref</w:t>
            </w:r>
            <w:proofErr w:type="spellEnd"/>
            <w:r>
              <w:rPr>
                <w:rFonts w:eastAsia="Calibri"/>
              </w:rPr>
              <w:t xml:space="preserve"> is fixed, NW-configured, or is included in the report (selected by the UE)</w:t>
            </w:r>
          </w:p>
          <w:p w:rsidR="009B70BD" w:rsidRDefault="0051047F">
            <w:pPr>
              <w:pStyle w:val="aff2"/>
              <w:numPr>
                <w:ilvl w:val="1"/>
                <w:numId w:val="20"/>
              </w:numPr>
              <w:snapToGrid w:val="0"/>
              <w:spacing w:after="0" w:line="300" w:lineRule="auto"/>
              <w:ind w:firstLineChars="0"/>
              <w:jc w:val="left"/>
              <w:rPr>
                <w:rFonts w:eastAsia="Calibri"/>
              </w:rPr>
            </w:pPr>
            <w:r>
              <w:rPr>
                <w:rFonts w:eastAsia="Calibri"/>
              </w:rPr>
              <w:t xml:space="preserve">FFS (by RAN1#116bis): whether the UE assumes that the measured and reported per-TRP frequency offsets can include Doppler shift (if existent) associated with the reference CSI-RS resource/resource set </w:t>
            </w:r>
            <w:proofErr w:type="spellStart"/>
            <w:r>
              <w:rPr>
                <w:rFonts w:eastAsia="Calibri"/>
              </w:rPr>
              <w:t>nref</w:t>
            </w:r>
            <w:proofErr w:type="spellEnd"/>
          </w:p>
          <w:p w:rsidR="009B70BD" w:rsidRDefault="0051047F">
            <w:pPr>
              <w:pStyle w:val="aff2"/>
              <w:numPr>
                <w:ilvl w:val="1"/>
                <w:numId w:val="20"/>
              </w:numPr>
              <w:snapToGrid w:val="0"/>
              <w:spacing w:after="0" w:line="300" w:lineRule="auto"/>
              <w:ind w:firstLineChars="0"/>
              <w:jc w:val="left"/>
              <w:rPr>
                <w:rFonts w:eastAsia="Calibri"/>
              </w:rPr>
            </w:pPr>
            <w:r>
              <w:rPr>
                <w:rFonts w:eastAsia="Calibri"/>
              </w:rPr>
              <w:t xml:space="preserve">FFS: Measurement resource/resource set for FO reporting </w:t>
            </w:r>
          </w:p>
          <w:p w:rsidR="009B70BD" w:rsidRDefault="0051047F">
            <w:pPr>
              <w:pStyle w:val="aff2"/>
              <w:numPr>
                <w:ilvl w:val="0"/>
                <w:numId w:val="20"/>
              </w:numPr>
              <w:snapToGrid w:val="0"/>
              <w:spacing w:after="0" w:line="300" w:lineRule="auto"/>
              <w:ind w:firstLineChars="0"/>
              <w:jc w:val="left"/>
              <w:rPr>
                <w:rFonts w:eastAsia="Calibri"/>
              </w:rPr>
            </w:pPr>
            <w:r>
              <w:rPr>
                <w:rFonts w:eastAsia="Calibri"/>
              </w:rPr>
              <w:t>Down-select, by RAN1#116bis, from the following</w:t>
            </w:r>
          </w:p>
          <w:p w:rsidR="009B70BD" w:rsidRDefault="0051047F">
            <w:pPr>
              <w:pStyle w:val="aff2"/>
              <w:numPr>
                <w:ilvl w:val="1"/>
                <w:numId w:val="20"/>
              </w:numPr>
              <w:snapToGrid w:val="0"/>
              <w:spacing w:after="0" w:line="300" w:lineRule="auto"/>
              <w:ind w:firstLineChars="0"/>
              <w:jc w:val="left"/>
              <w:rPr>
                <w:rFonts w:eastAsia="Calibri"/>
              </w:rPr>
            </w:pPr>
            <w:r>
              <w:rPr>
                <w:rFonts w:eastAsia="Calibri"/>
              </w:rPr>
              <w:t xml:space="preserve">Alt1. The value of </w:t>
            </w:r>
            <w:proofErr w:type="spellStart"/>
            <w:r>
              <w:rPr>
                <w:rFonts w:eastAsia="Calibri"/>
              </w:rPr>
              <w:t>FO</w:t>
            </w:r>
            <w:r>
              <w:rPr>
                <w:rFonts w:eastAsia="Calibri"/>
                <w:vertAlign w:val="subscript"/>
              </w:rPr>
              <w:t>n</w:t>
            </w:r>
            <w:proofErr w:type="spellEnd"/>
            <w:r>
              <w:rPr>
                <w:rFonts w:eastAsia="Calibri"/>
              </w:rPr>
              <w:t xml:space="preserve"> indicates a uniformly quantized FO between –A</w:t>
            </w:r>
            <w:r>
              <w:rPr>
                <w:rFonts w:eastAsia="Calibri"/>
                <w:vertAlign w:val="subscript"/>
              </w:rPr>
              <w:t>FO</w:t>
            </w:r>
            <w:r>
              <w:rPr>
                <w:rFonts w:eastAsia="Calibri"/>
              </w:rPr>
              <w:t xml:space="preserve"> and A</w:t>
            </w:r>
            <w:r>
              <w:rPr>
                <w:rFonts w:eastAsia="Calibri"/>
                <w:vertAlign w:val="subscript"/>
              </w:rPr>
              <w:t>FO</w:t>
            </w:r>
            <w:r>
              <w:t xml:space="preserve">, </w:t>
            </w:r>
            <w:r>
              <w:rPr>
                <w:rFonts w:hint="eastAsia"/>
              </w:rPr>
              <w:t xml:space="preserve">or 0 and </w:t>
            </w:r>
            <w:r>
              <w:rPr>
                <w:rFonts w:eastAsia="Calibri"/>
              </w:rPr>
              <w:t>A</w:t>
            </w:r>
            <w:r>
              <w:rPr>
                <w:rFonts w:eastAsia="Calibri"/>
                <w:vertAlign w:val="subscript"/>
              </w:rPr>
              <w:t>FO</w:t>
            </w:r>
          </w:p>
          <w:p w:rsidR="009B70BD" w:rsidRDefault="0051047F">
            <w:pPr>
              <w:pStyle w:val="aff2"/>
              <w:numPr>
                <w:ilvl w:val="2"/>
                <w:numId w:val="20"/>
              </w:numPr>
              <w:snapToGrid w:val="0"/>
              <w:spacing w:after="0" w:line="300" w:lineRule="auto"/>
              <w:ind w:firstLineChars="0"/>
              <w:jc w:val="left"/>
              <w:rPr>
                <w:rFonts w:eastAsia="Calibri"/>
              </w:rPr>
            </w:pPr>
            <w:r>
              <w:rPr>
                <w:rFonts w:eastAsia="Calibri"/>
              </w:rPr>
              <w:t>FFS (by RAN1#116bis): supported quantization alphabet(s) (including A</w:t>
            </w:r>
            <w:r>
              <w:rPr>
                <w:rFonts w:eastAsia="Calibri"/>
                <w:vertAlign w:val="subscript"/>
              </w:rPr>
              <w:t>FO</w:t>
            </w:r>
            <w:r>
              <w:rPr>
                <w:rFonts w:eastAsia="Calibri"/>
              </w:rPr>
              <w:t xml:space="preserve"> and resolution) for </w:t>
            </w:r>
            <w:proofErr w:type="spellStart"/>
            <w:r>
              <w:rPr>
                <w:rFonts w:eastAsia="Calibri"/>
              </w:rPr>
              <w:t>FO</w:t>
            </w:r>
            <w:r>
              <w:rPr>
                <w:rFonts w:eastAsia="Calibri"/>
                <w:vertAlign w:val="subscript"/>
              </w:rPr>
              <w:t>n</w:t>
            </w:r>
            <w:proofErr w:type="spellEnd"/>
            <w:r>
              <w:rPr>
                <w:rFonts w:eastAsia="Calibri"/>
              </w:rPr>
              <w:t xml:space="preserve"> </w:t>
            </w:r>
          </w:p>
          <w:p w:rsidR="009B70BD" w:rsidRDefault="0051047F">
            <w:pPr>
              <w:pStyle w:val="aff2"/>
              <w:numPr>
                <w:ilvl w:val="1"/>
                <w:numId w:val="20"/>
              </w:numPr>
              <w:snapToGrid w:val="0"/>
              <w:spacing w:after="0" w:line="300" w:lineRule="auto"/>
              <w:ind w:firstLineChars="0"/>
              <w:jc w:val="left"/>
              <w:rPr>
                <w:rFonts w:eastAsia="Calibri"/>
              </w:rPr>
            </w:pPr>
            <w:r>
              <w:rPr>
                <w:rFonts w:eastAsia="Calibri"/>
              </w:rPr>
              <w:t xml:space="preserve">Alt2. The value of </w:t>
            </w:r>
            <w:proofErr w:type="spellStart"/>
            <w:r>
              <w:rPr>
                <w:rFonts w:eastAsia="Calibri"/>
              </w:rPr>
              <w:t>FO</w:t>
            </w:r>
            <w:r>
              <w:rPr>
                <w:rFonts w:eastAsia="Calibri"/>
                <w:vertAlign w:val="subscript"/>
              </w:rPr>
              <w:t>n</w:t>
            </w:r>
            <w:proofErr w:type="spellEnd"/>
            <w:r>
              <w:rPr>
                <w:rFonts w:eastAsia="Calibri"/>
              </w:rPr>
              <w:t xml:space="preserve"> indicates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i+1</m:t>
                  </m:r>
                </m:sub>
              </m:sSub>
              <m:r>
                <w:rPr>
                  <w:rFonts w:ascii="Cambria Math" w:eastAsia="Calibri" w:hAnsi="Cambria Math"/>
                </w:rPr>
                <m:t>)</m:t>
              </m:r>
            </m:oMath>
            <w:r>
              <w:rPr>
                <w:rFonts w:eastAsia="Calibri"/>
              </w:rPr>
              <w:t xml:space="preserve"> which the FO falls into</w:t>
            </w:r>
          </w:p>
          <w:p w:rsidR="009B70BD" w:rsidRDefault="0051047F">
            <w:pPr>
              <w:pStyle w:val="aff2"/>
              <w:numPr>
                <w:ilvl w:val="2"/>
                <w:numId w:val="20"/>
              </w:numPr>
              <w:snapToGrid w:val="0"/>
              <w:spacing w:after="0" w:line="300" w:lineRule="auto"/>
              <w:ind w:firstLineChars="0"/>
              <w:jc w:val="left"/>
              <w:rPr>
                <w:rFonts w:eastAsia="Calibri"/>
              </w:rPr>
            </w:pPr>
            <w:r>
              <w:rPr>
                <w:rFonts w:eastAsia="Calibri"/>
              </w:rPr>
              <w:t xml:space="preserve">Alt2A: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M-1</m:t>
                      </m:r>
                    </m:sub>
                  </m:sSub>
                </m:e>
              </m:d>
            </m:oMath>
            <w:r>
              <w:rPr>
                <w:rFonts w:eastAsia="Calibri"/>
              </w:rPr>
              <w:t xml:space="preserve"> is uniformly spaced between -A</w:t>
            </w:r>
            <w:r>
              <w:rPr>
                <w:rFonts w:eastAsia="Calibri"/>
                <w:vertAlign w:val="subscript"/>
              </w:rPr>
              <w:t>FO</w:t>
            </w:r>
            <w:r>
              <w:rPr>
                <w:rFonts w:eastAsia="Calibri"/>
              </w:rPr>
              <w:t xml:space="preserve"> and A</w:t>
            </w:r>
            <w:r>
              <w:rPr>
                <w:rFonts w:eastAsia="Calibri"/>
                <w:vertAlign w:val="subscript"/>
              </w:rPr>
              <w:t>FO</w:t>
            </w:r>
            <w:r>
              <w:rPr>
                <w:rFonts w:eastAsia="Calibri"/>
              </w:rPr>
              <w:t xml:space="preserve">, i.e. </w:t>
            </w:r>
            <m:oMath>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r>
                <w:rPr>
                  <w:rFonts w:ascii="Cambria Math" w:eastAsia="Calibri" w:hAnsi="Cambria Math"/>
                </w:rPr>
                <m:t>+i×</m:t>
              </m:r>
              <m:f>
                <m:fPr>
                  <m:ctrlPr>
                    <w:rPr>
                      <w:rFonts w:ascii="Cambria Math" w:eastAsia="Calibri" w:hAnsi="Cambria Math"/>
                      <w:i/>
                    </w:rPr>
                  </m:ctrlPr>
                </m:fPr>
                <m:num>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r>
                    <w:rPr>
                      <w:rFonts w:ascii="Cambria Math" w:eastAsia="Calibri" w:hAnsi="Cambria Math"/>
                    </w:rPr>
                    <m:t>M-1</m:t>
                  </m:r>
                </m:den>
              </m:f>
              <m:r>
                <w:rPr>
                  <w:rFonts w:ascii="Cambria Math" w:eastAsia="Calibri" w:hAnsi="Cambria Math"/>
                </w:rPr>
                <m:t>,   i=0,1,…, M-1</m:t>
              </m:r>
            </m:oMath>
            <w:r>
              <w:rPr>
                <w:rFonts w:eastAsia="Calibri"/>
              </w:rPr>
              <w:t xml:space="preserve"> </w:t>
            </w:r>
          </w:p>
          <w:p w:rsidR="009B70BD" w:rsidRDefault="0051047F">
            <w:pPr>
              <w:pStyle w:val="aff2"/>
              <w:numPr>
                <w:ilvl w:val="2"/>
                <w:numId w:val="20"/>
              </w:numPr>
              <w:snapToGrid w:val="0"/>
              <w:spacing w:after="0" w:line="300" w:lineRule="auto"/>
              <w:ind w:firstLineChars="0"/>
              <w:jc w:val="left"/>
              <w:rPr>
                <w:rFonts w:eastAsia="Calibri"/>
              </w:rPr>
            </w:pPr>
            <w:r>
              <w:rPr>
                <w:rFonts w:eastAsia="Calibri"/>
              </w:rPr>
              <w:t xml:space="preserve">Alt2B: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M-1</m:t>
                      </m:r>
                    </m:sub>
                  </m:sSub>
                </m:e>
              </m:d>
            </m:oMath>
            <w:r>
              <w:rPr>
                <w:rFonts w:eastAsia="Calibri"/>
              </w:rPr>
              <w:t xml:space="preserve"> is uniformly spaced between 0 and A</w:t>
            </w:r>
            <w:r>
              <w:rPr>
                <w:rFonts w:eastAsia="Calibri"/>
                <w:vertAlign w:val="subscript"/>
              </w:rPr>
              <w:t>FO</w:t>
            </w:r>
            <w:r>
              <w:rPr>
                <w:rFonts w:eastAsia="Calibri"/>
              </w:rPr>
              <w:t xml:space="preserve">, i.e. </w:t>
            </w:r>
            <m:oMath>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r>
                    <w:rPr>
                      <w:rFonts w:ascii="Cambria Math" w:eastAsia="Calibri" w:hAnsi="Cambria Math"/>
                    </w:rPr>
                    <m:t>M-1</m:t>
                  </m:r>
                </m:den>
              </m:f>
              <m:r>
                <w:rPr>
                  <w:rFonts w:ascii="Cambria Math" w:eastAsia="Calibri" w:hAnsi="Cambria Math"/>
                </w:rPr>
                <m:t>,   i=0,1,…, M-1</m:t>
              </m:r>
            </m:oMath>
          </w:p>
          <w:p w:rsidR="009B70BD" w:rsidRDefault="0051047F">
            <w:pPr>
              <w:pStyle w:val="aff2"/>
              <w:numPr>
                <w:ilvl w:val="0"/>
                <w:numId w:val="20"/>
              </w:numPr>
              <w:snapToGrid w:val="0"/>
              <w:spacing w:after="0" w:line="300" w:lineRule="auto"/>
              <w:ind w:firstLineChars="0"/>
              <w:jc w:val="left"/>
              <w:rPr>
                <w:rFonts w:eastAsia="Calibri"/>
              </w:rPr>
            </w:pPr>
            <w:r>
              <w:rPr>
                <w:rFonts w:eastAsia="Calibri"/>
              </w:rPr>
              <w:t xml:space="preserve">FFS: whether “out-of-range” value/interval is needed, or whether TRP selection value is needed </w:t>
            </w:r>
          </w:p>
          <w:p w:rsidR="009B70BD" w:rsidRDefault="0051047F">
            <w:pPr>
              <w:pStyle w:val="aff2"/>
              <w:numPr>
                <w:ilvl w:val="0"/>
                <w:numId w:val="20"/>
              </w:numPr>
              <w:snapToGrid w:val="0"/>
              <w:spacing w:after="0" w:line="300" w:lineRule="auto"/>
              <w:ind w:firstLineChars="0"/>
              <w:jc w:val="left"/>
              <w:rPr>
                <w:rFonts w:eastAsia="Calibri"/>
              </w:rPr>
            </w:pPr>
            <w:r>
              <w:rPr>
                <w:rFonts w:eastAsia="Malgun Gothic"/>
                <w:bCs/>
              </w:rPr>
              <w:t>FFS: If N&lt;N</w:t>
            </w:r>
            <w:r>
              <w:rPr>
                <w:rFonts w:eastAsia="Malgun Gothic"/>
                <w:bCs/>
                <w:vertAlign w:val="subscript"/>
              </w:rPr>
              <w:t>TRP</w:t>
            </w:r>
            <w:r>
              <w:rPr>
                <w:rFonts w:eastAsia="Malgun Gothic"/>
                <w:bCs/>
              </w:rPr>
              <w:t>, the rest (N</w:t>
            </w:r>
            <w:r>
              <w:rPr>
                <w:rFonts w:eastAsia="Malgun Gothic"/>
                <w:bCs/>
                <w:vertAlign w:val="subscript"/>
              </w:rPr>
              <w:t>TRP</w:t>
            </w:r>
            <w:r>
              <w:rPr>
                <w:rFonts w:eastAsia="Malgun Gothic"/>
                <w:bCs/>
              </w:rPr>
              <w:t>–N) resources/resource sets are indicated with a state “out of range”</w:t>
            </w:r>
          </w:p>
          <w:p w:rsidR="009B70BD" w:rsidRDefault="0051047F">
            <w:pPr>
              <w:pStyle w:val="aff2"/>
              <w:numPr>
                <w:ilvl w:val="0"/>
                <w:numId w:val="20"/>
              </w:numPr>
              <w:snapToGrid w:val="0"/>
              <w:spacing w:after="0" w:line="300" w:lineRule="auto"/>
              <w:ind w:firstLineChars="0"/>
              <w:jc w:val="left"/>
              <w:rPr>
                <w:bCs/>
              </w:rPr>
            </w:pPr>
            <w:r>
              <w:rPr>
                <w:bCs/>
              </w:rPr>
              <w:t>FFS: Detailed UCI design</w:t>
            </w:r>
          </w:p>
          <w:p w:rsidR="009B70BD" w:rsidRDefault="0051047F">
            <w:pPr>
              <w:pStyle w:val="aff2"/>
              <w:numPr>
                <w:ilvl w:val="0"/>
                <w:numId w:val="20"/>
              </w:numPr>
              <w:snapToGrid w:val="0"/>
              <w:spacing w:after="0" w:line="300" w:lineRule="auto"/>
              <w:ind w:firstLineChars="0"/>
              <w:jc w:val="left"/>
              <w:rPr>
                <w:bCs/>
              </w:rPr>
            </w:pPr>
            <w:r>
              <w:rPr>
                <w:bCs/>
              </w:rPr>
              <w:t>FFS: The need for a new QCL assumption</w:t>
            </w:r>
          </w:p>
          <w:p w:rsidR="009B70BD" w:rsidRDefault="0051047F">
            <w:pPr>
              <w:pStyle w:val="aff2"/>
              <w:numPr>
                <w:ilvl w:val="0"/>
                <w:numId w:val="20"/>
              </w:numPr>
              <w:snapToGrid w:val="0"/>
              <w:spacing w:after="0" w:line="300" w:lineRule="auto"/>
              <w:ind w:firstLineChars="0"/>
              <w:jc w:val="left"/>
              <w:rPr>
                <w:rFonts w:eastAsia="微软雅黑"/>
                <w:szCs w:val="20"/>
              </w:rPr>
            </w:pPr>
            <w:r>
              <w:rPr>
                <w:rFonts w:eastAsia="等线" w:hint="eastAsia"/>
                <w:bCs/>
                <w:lang w:val="en-CA"/>
              </w:rPr>
              <w:t>F</w:t>
            </w:r>
            <w:r>
              <w:rPr>
                <w:rFonts w:eastAsia="等线"/>
                <w:bCs/>
                <w:lang w:val="en-CA"/>
              </w:rPr>
              <w:t xml:space="preserve">FS </w:t>
            </w:r>
            <w:r>
              <w:rPr>
                <w:bCs/>
              </w:rPr>
              <w:t>the</w:t>
            </w:r>
            <w:r>
              <w:rPr>
                <w:rFonts w:eastAsia="等线"/>
                <w:bCs/>
                <w:lang w:val="en-CA"/>
              </w:rPr>
              <w:t xml:space="preserve"> unit of </w:t>
            </w:r>
            <w:r>
              <w:rPr>
                <w:rFonts w:eastAsia="Calibri"/>
              </w:rPr>
              <w:t>A</w:t>
            </w:r>
            <w:r>
              <w:rPr>
                <w:rFonts w:eastAsia="Calibri"/>
                <w:vertAlign w:val="subscript"/>
              </w:rPr>
              <w:t>FO</w:t>
            </w:r>
            <w:r>
              <w:rPr>
                <w:rFonts w:eastAsia="等线"/>
                <w:bCs/>
                <w:lang w:val="en-CA"/>
              </w:rPr>
              <w:t xml:space="preserve">: e.g. absolute (e.g. in Hz) or relative (e.g. in ppm/ppb relative to carrier frequency, or </w:t>
            </w:r>
            <w:r>
              <w:rPr>
                <w:rFonts w:eastAsia="等线"/>
                <w:bCs/>
                <w:color w:val="FF0000"/>
                <w:lang w:val="en-CA"/>
              </w:rPr>
              <w:t>fraction of SCS</w:t>
            </w:r>
            <w:r>
              <w:rPr>
                <w:rFonts w:eastAsia="等线"/>
                <w:bCs/>
                <w:lang w:val="en-CA"/>
              </w:rPr>
              <w:t>), dependence on RS configuration</w:t>
            </w:r>
          </w:p>
          <w:p w:rsidR="009B70BD" w:rsidRDefault="0051047F">
            <w:pPr>
              <w:pStyle w:val="0Maintext"/>
              <w:spacing w:after="0" w:afterAutospacing="0" w:line="300" w:lineRule="auto"/>
              <w:ind w:firstLine="0"/>
              <w:rPr>
                <w:rFonts w:eastAsia="等线"/>
                <w:u w:val="single"/>
                <w:lang w:val="en-US" w:eastAsia="zh-CN"/>
              </w:rPr>
            </w:pPr>
            <w:r>
              <w:rPr>
                <w:rFonts w:eastAsia="等线"/>
                <w:b/>
                <w:bCs/>
                <w:u w:val="single"/>
                <w:lang w:val="en-US" w:eastAsia="zh-CN"/>
              </w:rPr>
              <w:t>Agreement (RAN1#116)</w:t>
            </w:r>
          </w:p>
          <w:p w:rsidR="009B70BD" w:rsidRDefault="0051047F">
            <w:pPr>
              <w:snapToGrid w:val="0"/>
              <w:spacing w:after="0" w:line="300" w:lineRule="auto"/>
              <w:rPr>
                <w:rFonts w:eastAsia="等线"/>
              </w:rPr>
            </w:pPr>
            <w:r>
              <w:rPr>
                <w:rFonts w:eastAsia="Calibri"/>
              </w:rPr>
              <w:t>For the Rel-19 aperiodic standalone CJT calibration reporting, given the N</w:t>
            </w:r>
            <w:r>
              <w:rPr>
                <w:rFonts w:eastAsia="Calibri"/>
                <w:vertAlign w:val="subscript"/>
              </w:rPr>
              <w:t>TRP</w:t>
            </w:r>
            <w:r>
              <w:rPr>
                <w:rFonts w:eastAsia="Calibri"/>
              </w:rPr>
              <w:t xml:space="preserve"> configured NZP CSI-RS resources/resource sets and the selected N resources/resource sets, study and decide, by RAN1#116bis, whether to support reporting, in one CSI reporting instance, {</w:t>
            </w:r>
            <w:r>
              <w:rPr>
                <w:rFonts w:ascii="Symbol" w:eastAsia="Calibri" w:hAnsi="Symbol"/>
              </w:rPr>
              <w:t></w:t>
            </w:r>
            <w:proofErr w:type="spellStart"/>
            <w:r>
              <w:rPr>
                <w:rFonts w:eastAsia="Calibri"/>
                <w:vertAlign w:val="subscript"/>
              </w:rPr>
              <w:t>n,m</w:t>
            </w:r>
            <w:proofErr w:type="spellEnd"/>
            <w:r>
              <w:rPr>
                <w:rFonts w:eastAsia="Calibri"/>
              </w:rPr>
              <w:t xml:space="preserve"> n=0, 1, …, N – 1, </w:t>
            </w:r>
            <w:proofErr w:type="spellStart"/>
            <w:r>
              <w:rPr>
                <w:rFonts w:eastAsia="Calibri"/>
              </w:rPr>
              <w:t>n≠nref</w:t>
            </w:r>
            <w:proofErr w:type="spellEnd"/>
            <w:r>
              <w:rPr>
                <w:rFonts w:eastAsia="Calibri"/>
              </w:rPr>
              <w:t xml:space="preserve">, </w:t>
            </w:r>
            <w:r>
              <w:rPr>
                <w:rFonts w:eastAsia="等线" w:hint="eastAsia"/>
              </w:rPr>
              <w:t>m=0,1,</w:t>
            </w:r>
            <w:r>
              <w:rPr>
                <w:rFonts w:eastAsia="等线"/>
              </w:rPr>
              <w:t>…</w:t>
            </w:r>
            <w:r>
              <w:rPr>
                <w:rFonts w:eastAsia="等线" w:hint="eastAsia"/>
              </w:rPr>
              <w:t>,M-1</w:t>
            </w:r>
            <w:r>
              <w:rPr>
                <w:rFonts w:eastAsia="Calibri"/>
              </w:rPr>
              <w:t xml:space="preserve">}, where </w:t>
            </w:r>
            <w:r>
              <w:rPr>
                <w:rFonts w:ascii="Symbol" w:eastAsia="Calibri" w:hAnsi="Symbol"/>
              </w:rPr>
              <w:t></w:t>
            </w:r>
            <w:proofErr w:type="spellStart"/>
            <w:r>
              <w:rPr>
                <w:rFonts w:eastAsia="Calibri"/>
                <w:vertAlign w:val="subscript"/>
              </w:rPr>
              <w:t>n,m</w:t>
            </w:r>
            <w:proofErr w:type="spellEnd"/>
            <w:r>
              <w:rPr>
                <w:rFonts w:eastAsia="Calibri"/>
              </w:rPr>
              <w:t xml:space="preserve"> denotes the measured phase offset between the n-</w:t>
            </w:r>
            <w:proofErr w:type="spellStart"/>
            <w:r>
              <w:rPr>
                <w:rFonts w:eastAsia="Calibri"/>
              </w:rPr>
              <w:t>th</w:t>
            </w:r>
            <w:proofErr w:type="spellEnd"/>
            <w:r>
              <w:rPr>
                <w:rFonts w:eastAsia="Calibri"/>
              </w:rPr>
              <w:t xml:space="preserve"> CSI-RS resource/resource set and the reference CSI-RS resource/resource set/ </w:t>
            </w:r>
            <w:proofErr w:type="spellStart"/>
            <w:r>
              <w:rPr>
                <w:rFonts w:eastAsia="Calibri"/>
              </w:rPr>
              <w:t>nref</w:t>
            </w:r>
            <w:proofErr w:type="spellEnd"/>
            <w:r>
              <w:rPr>
                <w:rFonts w:eastAsia="Calibri"/>
              </w:rPr>
              <w:t xml:space="preserve"> for the m-</w:t>
            </w:r>
            <w:proofErr w:type="spellStart"/>
            <w:r>
              <w:rPr>
                <w:rFonts w:eastAsia="Calibri"/>
              </w:rPr>
              <w:t>th</w:t>
            </w:r>
            <w:proofErr w:type="spellEnd"/>
            <w:r>
              <w:rPr>
                <w:rFonts w:eastAsia="Calibri"/>
              </w:rPr>
              <w:t xml:space="preserve"> frequency unit</w:t>
            </w:r>
            <w:r>
              <w:rPr>
                <w:rFonts w:eastAsia="等线" w:hint="eastAsia"/>
              </w:rPr>
              <w:t xml:space="preserve"> </w:t>
            </w:r>
          </w:p>
          <w:p w:rsidR="009B70BD" w:rsidRDefault="0051047F">
            <w:pPr>
              <w:pStyle w:val="aff2"/>
              <w:numPr>
                <w:ilvl w:val="0"/>
                <w:numId w:val="21"/>
              </w:numPr>
              <w:snapToGrid w:val="0"/>
              <w:spacing w:after="0" w:line="300" w:lineRule="auto"/>
              <w:ind w:firstLineChars="0"/>
              <w:jc w:val="left"/>
              <w:rPr>
                <w:rFonts w:eastAsia="Calibri"/>
              </w:rPr>
            </w:pPr>
            <w:r>
              <w:rPr>
                <w:rFonts w:eastAsia="等线"/>
              </w:rPr>
              <w:t xml:space="preserve">FFS: whether M&gt;1 (sub-band reporting) is needed or not (M=1, i.e. wideband reporting) </w:t>
            </w:r>
          </w:p>
          <w:p w:rsidR="009B70BD" w:rsidRDefault="0051047F">
            <w:pPr>
              <w:pStyle w:val="aff2"/>
              <w:numPr>
                <w:ilvl w:val="0"/>
                <w:numId w:val="20"/>
              </w:numPr>
              <w:snapToGrid w:val="0"/>
              <w:spacing w:after="0" w:line="300" w:lineRule="auto"/>
              <w:ind w:firstLineChars="0"/>
              <w:jc w:val="left"/>
              <w:rPr>
                <w:rFonts w:eastAsia="Calibri"/>
              </w:rPr>
            </w:pPr>
            <w:r>
              <w:rPr>
                <w:rFonts w:eastAsia="Calibri"/>
              </w:rPr>
              <w:t xml:space="preserve">For the reference CSI-RS resource/resource set </w:t>
            </w:r>
            <w:proofErr w:type="spellStart"/>
            <w:r>
              <w:rPr>
                <w:rFonts w:eastAsia="Calibri"/>
              </w:rPr>
              <w:t>nref</w:t>
            </w:r>
            <w:proofErr w:type="spellEnd"/>
            <w:r>
              <w:rPr>
                <w:rFonts w:eastAsia="Calibri"/>
              </w:rPr>
              <w:t xml:space="preserve">, the value of </w:t>
            </w:r>
            <w:r>
              <w:rPr>
                <w:rFonts w:ascii="Symbol" w:eastAsia="Calibri" w:hAnsi="Symbol"/>
              </w:rPr>
              <w:t></w:t>
            </w:r>
            <w:proofErr w:type="spellStart"/>
            <w:r>
              <w:rPr>
                <w:rFonts w:eastAsia="Calibri"/>
                <w:vertAlign w:val="subscript"/>
              </w:rPr>
              <w:t>nref</w:t>
            </w:r>
            <w:proofErr w:type="spellEnd"/>
            <w:r>
              <w:rPr>
                <w:rFonts w:eastAsia="Calibri"/>
              </w:rPr>
              <w:t xml:space="preserve"> is assumed 0 and not reported</w:t>
            </w:r>
          </w:p>
          <w:p w:rsidR="009B70BD" w:rsidRDefault="0051047F">
            <w:pPr>
              <w:pStyle w:val="aff2"/>
              <w:numPr>
                <w:ilvl w:val="1"/>
                <w:numId w:val="20"/>
              </w:numPr>
              <w:snapToGrid w:val="0"/>
              <w:spacing w:after="0" w:line="300" w:lineRule="auto"/>
              <w:ind w:firstLineChars="0"/>
              <w:jc w:val="left"/>
              <w:rPr>
                <w:rFonts w:eastAsia="Calibri"/>
              </w:rPr>
            </w:pPr>
            <w:r>
              <w:rPr>
                <w:rFonts w:eastAsia="Calibri"/>
              </w:rPr>
              <w:t xml:space="preserve">FFS (by RAN1#116bis): Whether </w:t>
            </w:r>
            <w:proofErr w:type="spellStart"/>
            <w:r>
              <w:rPr>
                <w:rFonts w:eastAsia="Calibri"/>
              </w:rPr>
              <w:t>nref</w:t>
            </w:r>
            <w:proofErr w:type="spellEnd"/>
            <w:r>
              <w:rPr>
                <w:rFonts w:eastAsia="Calibri"/>
              </w:rPr>
              <w:t xml:space="preserve"> is fixed, NW-configured, or is included in the report (selected by the UE)</w:t>
            </w:r>
          </w:p>
          <w:p w:rsidR="009B70BD" w:rsidRDefault="0051047F">
            <w:pPr>
              <w:pStyle w:val="aff2"/>
              <w:numPr>
                <w:ilvl w:val="0"/>
                <w:numId w:val="20"/>
              </w:numPr>
              <w:snapToGrid w:val="0"/>
              <w:spacing w:after="0" w:line="300" w:lineRule="auto"/>
              <w:ind w:firstLineChars="0"/>
              <w:jc w:val="left"/>
              <w:rPr>
                <w:rFonts w:eastAsia="Calibri"/>
              </w:rPr>
            </w:pPr>
            <w:r>
              <w:rPr>
                <w:rFonts w:eastAsia="Calibri"/>
              </w:rPr>
              <w:t xml:space="preserve">The value </w:t>
            </w:r>
            <w:r>
              <w:rPr>
                <w:rFonts w:ascii="Symbol" w:eastAsia="Calibri" w:hAnsi="Symbol"/>
              </w:rPr>
              <w:t></w:t>
            </w:r>
            <w:proofErr w:type="spellStart"/>
            <w:proofErr w:type="gramStart"/>
            <w:r>
              <w:rPr>
                <w:rFonts w:eastAsia="Calibri"/>
                <w:vertAlign w:val="subscript"/>
              </w:rPr>
              <w:t>n,m</w:t>
            </w:r>
            <w:proofErr w:type="spellEnd"/>
            <w:proofErr w:type="gramEnd"/>
            <w:r>
              <w:rPr>
                <w:rFonts w:eastAsia="Calibri"/>
              </w:rPr>
              <w:t xml:space="preserve"> indicates a uniformly quantized phase between –A</w:t>
            </w:r>
            <w:r>
              <w:rPr>
                <w:rFonts w:ascii="Symbol" w:eastAsia="Calibri" w:hAnsi="Symbol"/>
                <w:vertAlign w:val="subscript"/>
              </w:rPr>
              <w:t></w:t>
            </w:r>
            <w:r>
              <w:rPr>
                <w:rFonts w:eastAsia="Calibri"/>
              </w:rPr>
              <w:t xml:space="preserve"> and A</w:t>
            </w:r>
            <w:r>
              <w:rPr>
                <w:rFonts w:ascii="Symbol" w:eastAsia="Calibri" w:hAnsi="Symbol"/>
                <w:vertAlign w:val="subscript"/>
              </w:rPr>
              <w:t></w:t>
            </w:r>
            <w:r>
              <w:rPr>
                <w:rFonts w:ascii="Symbol" w:hAnsi="Symbol"/>
                <w:vertAlign w:val="subscript"/>
              </w:rPr>
              <w:t></w:t>
            </w:r>
            <w:r>
              <w:t xml:space="preserve">, </w:t>
            </w:r>
            <w:r>
              <w:rPr>
                <w:rFonts w:hint="eastAsia"/>
              </w:rPr>
              <w:t>or 0</w:t>
            </w:r>
            <w:r>
              <w:rPr>
                <w:rFonts w:eastAsia="Calibri"/>
              </w:rPr>
              <w:t xml:space="preserve"> and A</w:t>
            </w:r>
            <w:r>
              <w:rPr>
                <w:rFonts w:ascii="Symbol" w:eastAsia="Calibri" w:hAnsi="Symbol"/>
                <w:vertAlign w:val="subscript"/>
              </w:rPr>
              <w:t></w:t>
            </w:r>
            <w:r>
              <w:rPr>
                <w:rFonts w:ascii="Symbol" w:hAnsi="Symbol"/>
                <w:vertAlign w:val="subscript"/>
              </w:rPr>
              <w:t></w:t>
            </w:r>
          </w:p>
          <w:p w:rsidR="009B70BD" w:rsidRDefault="0051047F">
            <w:pPr>
              <w:pStyle w:val="aff2"/>
              <w:numPr>
                <w:ilvl w:val="1"/>
                <w:numId w:val="20"/>
              </w:numPr>
              <w:snapToGrid w:val="0"/>
              <w:spacing w:after="0" w:line="300" w:lineRule="auto"/>
              <w:ind w:firstLineChars="0"/>
              <w:jc w:val="left"/>
              <w:rPr>
                <w:rFonts w:eastAsia="Calibri"/>
              </w:rPr>
            </w:pPr>
            <w:r>
              <w:rPr>
                <w:rFonts w:eastAsia="Calibri"/>
              </w:rPr>
              <w:t>FFS (by RAN1#116bis): supported quantization alphabet(s) (including A</w:t>
            </w:r>
            <w:r>
              <w:rPr>
                <w:rFonts w:ascii="Symbol" w:eastAsia="Calibri" w:hAnsi="Symbol"/>
                <w:vertAlign w:val="subscript"/>
              </w:rPr>
              <w:t></w:t>
            </w:r>
            <w:r>
              <w:rPr>
                <w:rFonts w:eastAsia="Calibri"/>
              </w:rPr>
              <w:t xml:space="preserve"> and resolution) for </w:t>
            </w:r>
            <w:r>
              <w:rPr>
                <w:rFonts w:ascii="Symbol" w:eastAsia="Calibri" w:hAnsi="Symbol"/>
              </w:rPr>
              <w:t></w:t>
            </w:r>
            <w:proofErr w:type="spellStart"/>
            <w:proofErr w:type="gramStart"/>
            <w:r>
              <w:rPr>
                <w:rFonts w:eastAsia="Calibri"/>
                <w:vertAlign w:val="subscript"/>
              </w:rPr>
              <w:t>n,m</w:t>
            </w:r>
            <w:proofErr w:type="spellEnd"/>
            <w:proofErr w:type="gramEnd"/>
            <w:r>
              <w:rPr>
                <w:rFonts w:eastAsia="Calibri"/>
              </w:rPr>
              <w:t xml:space="preserve"> </w:t>
            </w:r>
          </w:p>
          <w:p w:rsidR="009B70BD" w:rsidRDefault="0051047F">
            <w:pPr>
              <w:pStyle w:val="aff2"/>
              <w:numPr>
                <w:ilvl w:val="0"/>
                <w:numId w:val="20"/>
              </w:numPr>
              <w:snapToGrid w:val="0"/>
              <w:spacing w:after="0" w:line="300" w:lineRule="auto"/>
              <w:ind w:firstLineChars="0"/>
              <w:jc w:val="left"/>
              <w:rPr>
                <w:bCs/>
                <w:lang w:val="en-CA"/>
              </w:rPr>
            </w:pPr>
            <w:r>
              <w:rPr>
                <w:bCs/>
              </w:rPr>
              <w:lastRenderedPageBreak/>
              <w:t>FFS: Detailed UCI design</w:t>
            </w:r>
          </w:p>
        </w:tc>
      </w:tr>
    </w:tbl>
    <w:p w:rsidR="009B70BD" w:rsidRDefault="0051047F">
      <w:pPr>
        <w:tabs>
          <w:tab w:val="left" w:pos="420"/>
        </w:tabs>
        <w:snapToGrid w:val="0"/>
        <w:spacing w:beforeLines="50" w:before="120" w:afterLines="50" w:after="120" w:line="300" w:lineRule="auto"/>
        <w:rPr>
          <w:rFonts w:eastAsia="微软雅黑"/>
          <w:szCs w:val="20"/>
        </w:rPr>
      </w:pPr>
      <w:r>
        <w:rPr>
          <w:rFonts w:eastAsia="微软雅黑" w:hint="eastAsia"/>
          <w:szCs w:val="20"/>
        </w:rPr>
        <w:lastRenderedPageBreak/>
        <w:t>F</w:t>
      </w:r>
      <w:r>
        <w:rPr>
          <w:rFonts w:eastAsia="微软雅黑"/>
          <w:szCs w:val="20"/>
        </w:rPr>
        <w:t>or inter-TRP delay</w:t>
      </w:r>
      <w:r>
        <w:rPr>
          <w:rFonts w:eastAsia="微软雅黑" w:hint="eastAsia"/>
          <w:szCs w:val="20"/>
        </w:rPr>
        <w:t>/</w:t>
      </w:r>
      <w:r>
        <w:rPr>
          <w:rFonts w:eastAsia="微软雅黑"/>
          <w:szCs w:val="20"/>
        </w:rPr>
        <w:t xml:space="preserve">frequency/phase reporting, it is natural that the </w:t>
      </w:r>
      <w:proofErr w:type="spellStart"/>
      <w:r>
        <w:rPr>
          <w:rFonts w:eastAsia="微软雅黑"/>
          <w:szCs w:val="20"/>
        </w:rPr>
        <w:t>n</w:t>
      </w:r>
      <w:r w:rsidRPr="00BC54C3">
        <w:rPr>
          <w:rFonts w:eastAsia="微软雅黑"/>
          <w:szCs w:val="20"/>
          <w:vertAlign w:val="subscript"/>
        </w:rPr>
        <w:t>ref</w:t>
      </w:r>
      <w:proofErr w:type="spellEnd"/>
      <w:r>
        <w:rPr>
          <w:rFonts w:eastAsia="微软雅黑"/>
          <w:szCs w:val="20"/>
        </w:rPr>
        <w:t xml:space="preserve"> should be selected by UE and included in the report. Then the UE would always select the minimum delay/frequency/phase as reference, and the quantization range would be </w:t>
      </w:r>
      <m:oMath>
        <m:d>
          <m:dPr>
            <m:ctrlPr>
              <w:rPr>
                <w:rFonts w:ascii="Cambria Math" w:eastAsia="微软雅黑" w:hAnsi="Cambria Math"/>
                <w:szCs w:val="20"/>
              </w:rPr>
            </m:ctrlPr>
          </m:dPr>
          <m:e>
            <m:r>
              <w:rPr>
                <w:rFonts w:ascii="Cambria Math" w:eastAsia="微软雅黑" w:hAnsi="Cambria Math"/>
                <w:szCs w:val="20"/>
              </w:rPr>
              <m:t>0, A</m:t>
            </m:r>
          </m:e>
        </m:d>
      </m:oMath>
      <w:r>
        <w:rPr>
          <w:rFonts w:eastAsia="微软雅黑" w:hint="eastAsia"/>
          <w:szCs w:val="20"/>
        </w:rPr>
        <w:t>.</w:t>
      </w:r>
      <w:r>
        <w:rPr>
          <w:rFonts w:eastAsia="微软雅黑"/>
          <w:szCs w:val="20"/>
        </w:rPr>
        <w:t xml:space="preserve"> Otherwise, if </w:t>
      </w:r>
      <w:proofErr w:type="spellStart"/>
      <w:r>
        <w:rPr>
          <w:rFonts w:eastAsia="微软雅黑"/>
          <w:szCs w:val="20"/>
        </w:rPr>
        <w:t>n</w:t>
      </w:r>
      <w:r w:rsidRPr="00BC54C3">
        <w:rPr>
          <w:rFonts w:eastAsia="微软雅黑"/>
          <w:szCs w:val="20"/>
          <w:vertAlign w:val="subscript"/>
        </w:rPr>
        <w:t>ref</w:t>
      </w:r>
      <w:proofErr w:type="spellEnd"/>
      <w:r>
        <w:rPr>
          <w:rFonts w:eastAsia="微软雅黑"/>
          <w:szCs w:val="20"/>
        </w:rPr>
        <w:t xml:space="preserve"> is NW-configured or fixed, and the quantization range is </w:t>
      </w:r>
      <m:oMath>
        <m:d>
          <m:dPr>
            <m:ctrlPr>
              <w:rPr>
                <w:rFonts w:ascii="Cambria Math" w:eastAsia="微软雅黑" w:hAnsi="Cambria Math"/>
                <w:szCs w:val="20"/>
              </w:rPr>
            </m:ctrlPr>
          </m:dPr>
          <m:e>
            <m:r>
              <w:rPr>
                <w:rFonts w:ascii="Cambria Math" w:eastAsia="微软雅黑" w:hAnsi="Cambria Math"/>
                <w:szCs w:val="20"/>
              </w:rPr>
              <m:t>-A, A</m:t>
            </m:r>
          </m:e>
        </m:d>
      </m:oMath>
      <w:r>
        <w:rPr>
          <w:rFonts w:eastAsia="微软雅黑" w:hint="eastAsia"/>
          <w:szCs w:val="20"/>
        </w:rPr>
        <w:t>,</w:t>
      </w:r>
      <w:r>
        <w:rPr>
          <w:rFonts w:eastAsia="微软雅黑"/>
          <w:szCs w:val="20"/>
        </w:rPr>
        <w:t xml:space="preserve"> it could lead to low quantization efficiency and high reporting overhead.</w:t>
      </w:r>
    </w:p>
    <w:p w:rsidR="009B70BD" w:rsidRDefault="0051047F">
      <w:pPr>
        <w:tabs>
          <w:tab w:val="left" w:pos="420"/>
        </w:tabs>
        <w:snapToGrid w:val="0"/>
        <w:spacing w:beforeLines="50" w:before="120" w:afterLines="50" w:after="120" w:line="300" w:lineRule="auto"/>
        <w:rPr>
          <w:rFonts w:eastAsia="微软雅黑"/>
          <w:i/>
          <w:szCs w:val="20"/>
        </w:rPr>
      </w:pPr>
      <w:r>
        <w:rPr>
          <w:rFonts w:eastAsia="微软雅黑"/>
          <w:b/>
          <w:i/>
          <w:szCs w:val="20"/>
        </w:rPr>
        <w:t xml:space="preserve">Proposal </w:t>
      </w:r>
      <w:r w:rsidR="00D46CEA">
        <w:rPr>
          <w:rFonts w:eastAsia="微软雅黑"/>
          <w:b/>
          <w:i/>
          <w:szCs w:val="20"/>
        </w:rPr>
        <w:t>17</w:t>
      </w:r>
      <w:r>
        <w:rPr>
          <w:rFonts w:eastAsia="微软雅黑"/>
          <w:b/>
          <w:i/>
          <w:szCs w:val="20"/>
        </w:rPr>
        <w:t>:</w:t>
      </w:r>
      <w:r>
        <w:rPr>
          <w:rFonts w:eastAsia="微软雅黑"/>
          <w:i/>
          <w:szCs w:val="20"/>
        </w:rPr>
        <w:t xml:space="preserve"> Regarding Rel-19 CJT calibration reporting, for inter-TRP delay/frequency/phase reporting, support</w:t>
      </w:r>
    </w:p>
    <w:p w:rsidR="009B70BD" w:rsidRDefault="0051047F">
      <w:pPr>
        <w:numPr>
          <w:ilvl w:val="0"/>
          <w:numId w:val="19"/>
        </w:numPr>
        <w:snapToGrid w:val="0"/>
        <w:spacing w:beforeLines="50" w:before="120" w:afterLines="50" w:after="120" w:line="300" w:lineRule="auto"/>
        <w:rPr>
          <w:rFonts w:eastAsia="微软雅黑"/>
          <w:i/>
          <w:szCs w:val="20"/>
        </w:rPr>
      </w:pPr>
      <w:proofErr w:type="spellStart"/>
      <w:r>
        <w:rPr>
          <w:rFonts w:eastAsia="微软雅黑"/>
          <w:i/>
          <w:szCs w:val="20"/>
        </w:rPr>
        <w:t>n</w:t>
      </w:r>
      <w:r w:rsidRPr="00BC54C3">
        <w:rPr>
          <w:rFonts w:eastAsia="微软雅黑"/>
          <w:i/>
          <w:szCs w:val="20"/>
          <w:vertAlign w:val="subscript"/>
        </w:rPr>
        <w:t>ref</w:t>
      </w:r>
      <w:proofErr w:type="spellEnd"/>
      <w:r>
        <w:rPr>
          <w:rFonts w:eastAsia="微软雅黑"/>
          <w:i/>
          <w:szCs w:val="20"/>
        </w:rPr>
        <w:t xml:space="preserve"> is selected by UE and included in the report;</w:t>
      </w:r>
    </w:p>
    <w:p w:rsidR="009B70BD" w:rsidRDefault="0051047F">
      <w:pPr>
        <w:numPr>
          <w:ilvl w:val="0"/>
          <w:numId w:val="19"/>
        </w:numPr>
        <w:snapToGrid w:val="0"/>
        <w:spacing w:beforeLines="50" w:before="120" w:afterLines="50" w:after="120" w:line="300" w:lineRule="auto"/>
        <w:rPr>
          <w:rFonts w:eastAsia="微软雅黑"/>
          <w:i/>
          <w:szCs w:val="20"/>
        </w:rPr>
      </w:pPr>
      <w:r>
        <w:rPr>
          <w:rFonts w:eastAsia="微软雅黑" w:hint="eastAsia"/>
          <w:i/>
          <w:szCs w:val="20"/>
        </w:rPr>
        <w:t>T</w:t>
      </w:r>
      <w:r>
        <w:rPr>
          <w:rFonts w:eastAsia="微软雅黑"/>
          <w:i/>
          <w:szCs w:val="20"/>
        </w:rPr>
        <w:t xml:space="preserve">he quantization range is </w:t>
      </w:r>
      <m:oMath>
        <m:d>
          <m:dPr>
            <m:ctrlPr>
              <w:rPr>
                <w:rFonts w:ascii="Cambria Math" w:eastAsia="微软雅黑" w:hAnsi="Cambria Math"/>
                <w:i/>
                <w:szCs w:val="20"/>
              </w:rPr>
            </m:ctrlPr>
          </m:dPr>
          <m:e>
            <m:r>
              <w:rPr>
                <w:rFonts w:ascii="Cambria Math" w:eastAsia="微软雅黑" w:hAnsi="Cambria Math"/>
                <w:szCs w:val="20"/>
              </w:rPr>
              <m:t>0, A</m:t>
            </m:r>
          </m:e>
        </m:d>
      </m:oMath>
      <w:r>
        <w:rPr>
          <w:rFonts w:eastAsia="微软雅黑" w:hint="eastAsia"/>
          <w:i/>
          <w:szCs w:val="20"/>
        </w:rPr>
        <w:t>.</w:t>
      </w:r>
    </w:p>
    <w:p w:rsidR="009B70BD" w:rsidRDefault="0051047F">
      <w:pPr>
        <w:numPr>
          <w:ilvl w:val="1"/>
          <w:numId w:val="8"/>
        </w:numPr>
        <w:snapToGrid w:val="0"/>
        <w:spacing w:afterLines="50" w:after="120" w:line="25" w:lineRule="atLeast"/>
        <w:outlineLvl w:val="1"/>
        <w:rPr>
          <w:b/>
          <w:sz w:val="24"/>
          <w:szCs w:val="20"/>
        </w:rPr>
      </w:pPr>
      <w:r>
        <w:rPr>
          <w:rFonts w:hint="eastAsia"/>
          <w:b/>
          <w:sz w:val="24"/>
          <w:szCs w:val="20"/>
        </w:rPr>
        <w:t xml:space="preserve">Inter-TRP </w:t>
      </w:r>
      <w:r w:rsidR="003F7213">
        <w:rPr>
          <w:b/>
          <w:sz w:val="24"/>
          <w:szCs w:val="20"/>
        </w:rPr>
        <w:t>delay</w:t>
      </w:r>
      <w:r w:rsidR="003F7213">
        <w:rPr>
          <w:rFonts w:hint="eastAsia"/>
          <w:b/>
          <w:sz w:val="24"/>
          <w:szCs w:val="20"/>
        </w:rPr>
        <w:t xml:space="preserve"> </w:t>
      </w:r>
      <w:r>
        <w:rPr>
          <w:rFonts w:hint="eastAsia"/>
          <w:b/>
          <w:sz w:val="24"/>
          <w:szCs w:val="20"/>
        </w:rPr>
        <w:t>misalignment measurement and reporting</w:t>
      </w:r>
    </w:p>
    <w:p w:rsidR="009B70BD" w:rsidRDefault="0051047F">
      <w:pPr>
        <w:tabs>
          <w:tab w:val="left" w:pos="432"/>
          <w:tab w:val="left" w:pos="576"/>
        </w:tabs>
        <w:snapToGrid w:val="0"/>
        <w:spacing w:afterLines="50" w:after="120" w:line="25" w:lineRule="atLeast"/>
        <w:outlineLvl w:val="2"/>
        <w:rPr>
          <w:b/>
          <w:bCs/>
          <w:sz w:val="21"/>
          <w:szCs w:val="21"/>
        </w:rPr>
      </w:pPr>
      <w:r>
        <w:rPr>
          <w:b/>
          <w:bCs/>
          <w:sz w:val="21"/>
          <w:szCs w:val="21"/>
        </w:rPr>
        <w:t>3.2.1 CMR</w:t>
      </w:r>
      <w:r>
        <w:rPr>
          <w:rFonts w:hint="eastAsia"/>
          <w:b/>
          <w:bCs/>
          <w:sz w:val="21"/>
          <w:szCs w:val="21"/>
        </w:rPr>
        <w:t xml:space="preserve"> </w:t>
      </w:r>
      <w:r>
        <w:rPr>
          <w:b/>
          <w:bCs/>
          <w:sz w:val="21"/>
          <w:szCs w:val="21"/>
        </w:rPr>
        <w:t xml:space="preserve">for </w:t>
      </w:r>
      <w:r w:rsidR="003F7213">
        <w:rPr>
          <w:b/>
          <w:bCs/>
          <w:sz w:val="21"/>
          <w:szCs w:val="21"/>
        </w:rPr>
        <w:t xml:space="preserve">delay </w:t>
      </w:r>
      <w:r>
        <w:rPr>
          <w:b/>
          <w:bCs/>
          <w:sz w:val="21"/>
          <w:szCs w:val="21"/>
        </w:rPr>
        <w:t>measurement</w:t>
      </w:r>
    </w:p>
    <w:p w:rsidR="009B70BD" w:rsidRDefault="0051047F">
      <w:pPr>
        <w:snapToGrid w:val="0"/>
        <w:spacing w:beforeLines="50" w:before="120" w:afterLines="50" w:after="120" w:line="300" w:lineRule="auto"/>
        <w:rPr>
          <w:rFonts w:eastAsia="微软雅黑"/>
          <w:szCs w:val="20"/>
        </w:rPr>
      </w:pPr>
      <w:r>
        <w:rPr>
          <w:rFonts w:eastAsia="微软雅黑" w:hint="eastAsia"/>
          <w:szCs w:val="20"/>
        </w:rPr>
        <w:t>I</w:t>
      </w:r>
      <w:r>
        <w:rPr>
          <w:rFonts w:eastAsia="微软雅黑"/>
          <w:szCs w:val="20"/>
        </w:rPr>
        <w:t>n real-field deployment, the delay between a TRP and a UE is caused by the following two factors:</w:t>
      </w:r>
    </w:p>
    <w:p w:rsidR="009B70BD" w:rsidRDefault="0051047F">
      <w:pPr>
        <w:numPr>
          <w:ilvl w:val="0"/>
          <w:numId w:val="19"/>
        </w:numPr>
        <w:snapToGrid w:val="0"/>
        <w:spacing w:beforeLines="50" w:before="120" w:afterLines="50" w:after="120" w:line="300" w:lineRule="auto"/>
        <w:rPr>
          <w:rFonts w:eastAsia="微软雅黑"/>
          <w:szCs w:val="20"/>
        </w:rPr>
      </w:pPr>
      <w:r>
        <w:rPr>
          <w:rFonts w:eastAsia="微软雅黑"/>
          <w:szCs w:val="20"/>
        </w:rPr>
        <w:t xml:space="preserve">The timing drifting due to the </w:t>
      </w:r>
      <w:r w:rsidR="003F7213">
        <w:rPr>
          <w:rFonts w:eastAsia="微软雅黑"/>
          <w:szCs w:val="20"/>
        </w:rPr>
        <w:t>oscillator jitter</w:t>
      </w:r>
      <w:r>
        <w:rPr>
          <w:rFonts w:eastAsia="微软雅黑"/>
          <w:szCs w:val="20"/>
        </w:rPr>
        <w:t>;</w:t>
      </w:r>
    </w:p>
    <w:p w:rsidR="009B70BD" w:rsidRDefault="0051047F">
      <w:pPr>
        <w:numPr>
          <w:ilvl w:val="0"/>
          <w:numId w:val="19"/>
        </w:numPr>
        <w:snapToGrid w:val="0"/>
        <w:spacing w:beforeLines="50" w:before="120" w:afterLines="50" w:after="120" w:line="300" w:lineRule="auto"/>
        <w:rPr>
          <w:rFonts w:eastAsia="微软雅黑"/>
          <w:szCs w:val="20"/>
        </w:rPr>
      </w:pPr>
      <w:r>
        <w:rPr>
          <w:rFonts w:eastAsia="微软雅黑" w:hint="eastAsia"/>
          <w:szCs w:val="20"/>
        </w:rPr>
        <w:t>T</w:t>
      </w:r>
      <w:r>
        <w:rPr>
          <w:rFonts w:eastAsia="微软雅黑"/>
          <w:szCs w:val="20"/>
        </w:rPr>
        <w:t>he propagation delay between the TRP and the UE.</w:t>
      </w:r>
    </w:p>
    <w:p w:rsidR="009B70BD" w:rsidRDefault="0051047F">
      <w:pPr>
        <w:snapToGrid w:val="0"/>
        <w:spacing w:beforeLines="50" w:before="120" w:afterLines="50" w:after="120" w:line="300" w:lineRule="auto"/>
        <w:rPr>
          <w:rFonts w:eastAsia="微软雅黑" w:hAnsi="Cambria Math"/>
          <w:iCs/>
          <w:szCs w:val="20"/>
        </w:rPr>
      </w:pPr>
      <w:r>
        <w:rPr>
          <w:rFonts w:eastAsia="微软雅黑"/>
          <w:szCs w:val="20"/>
        </w:rPr>
        <w:t>For each TRP</w:t>
      </w:r>
      <w:r>
        <w:rPr>
          <w:rFonts w:eastAsia="微软雅黑" w:hint="eastAsia"/>
          <w:szCs w:val="20"/>
        </w:rPr>
        <w:t xml:space="preserve">, the delay would cause a linearly varying phase shift in the frequency domain. Assuming </w:t>
      </w:r>
      <m:oMath>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1</m:t>
            </m:r>
          </m:sub>
        </m:sSub>
        <m:r>
          <w:rPr>
            <w:rFonts w:ascii="Cambria Math" w:eastAsia="微软雅黑" w:hAnsi="Cambria Math"/>
            <w:szCs w:val="20"/>
          </w:rPr>
          <m:t>)</m:t>
        </m:r>
      </m:oMath>
      <w:r>
        <w:rPr>
          <w:rFonts w:eastAsia="微软雅黑" w:hAnsi="Cambria Math" w:hint="eastAsia"/>
          <w:iCs/>
          <w:szCs w:val="20"/>
        </w:rPr>
        <w:t xml:space="preserve"> and </w:t>
      </w:r>
      <m:oMath>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2</m:t>
            </m:r>
          </m:sub>
        </m:sSub>
        <m:r>
          <w:rPr>
            <w:rFonts w:ascii="Cambria Math" w:eastAsia="微软雅黑" w:hAnsi="Cambria Math"/>
            <w:szCs w:val="20"/>
          </w:rPr>
          <m:t>)</m:t>
        </m:r>
      </m:oMath>
      <w:r>
        <w:rPr>
          <w:rFonts w:eastAsia="微软雅黑" w:hAnsi="Cambria Math" w:hint="eastAsia"/>
          <w:szCs w:val="20"/>
        </w:rPr>
        <w:t xml:space="preserve"> are the channel responses for subcarriers </w:t>
      </w:r>
      <m:oMath>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1</m:t>
            </m:r>
          </m:sub>
        </m:sSub>
      </m:oMath>
      <w:r>
        <w:rPr>
          <w:rFonts w:eastAsia="微软雅黑" w:hAnsi="Cambria Math" w:hint="eastAsia"/>
          <w:iCs/>
          <w:szCs w:val="20"/>
        </w:rPr>
        <w:t xml:space="preserve"> and </w:t>
      </w:r>
      <m:oMath>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2</m:t>
            </m:r>
          </m:sub>
        </m:sSub>
      </m:oMath>
      <w:r>
        <w:rPr>
          <w:rFonts w:eastAsia="微软雅黑" w:hAnsi="Cambria Math" w:hint="eastAsia"/>
          <w:iCs/>
          <w:szCs w:val="20"/>
        </w:rPr>
        <w:t xml:space="preserve">, the phase shift caused by the delay </w:t>
      </w:r>
      <m:oMath>
        <m:r>
          <w:rPr>
            <w:rFonts w:ascii="Cambria Math" w:hAnsi="Cambria Math"/>
            <w:szCs w:val="20"/>
          </w:rPr>
          <m:t>τ</m:t>
        </m:r>
      </m:oMath>
      <w:r>
        <w:rPr>
          <w:rFonts w:eastAsia="微软雅黑" w:hAnsi="Cambria Math" w:hint="eastAsia"/>
          <w:iCs/>
          <w:szCs w:val="20"/>
        </w:rPr>
        <w:t xml:space="preserve"> across these two subcarriers can be expressed as</w:t>
      </w:r>
    </w:p>
    <w:p w:rsidR="009B70BD" w:rsidRDefault="0051047F">
      <w:pPr>
        <w:snapToGrid w:val="0"/>
        <w:spacing w:beforeLines="50" w:before="120" w:afterLines="50" w:after="120" w:line="300" w:lineRule="auto"/>
        <w:rPr>
          <w:rFonts w:hAnsi="Cambria Math"/>
          <w:i/>
          <w:szCs w:val="20"/>
        </w:rPr>
      </w:pPr>
      <m:oMathPara>
        <m:oMath>
          <m:r>
            <w:rPr>
              <w:rFonts w:ascii="Cambria Math" w:hAnsi="Cambria Math"/>
              <w:szCs w:val="20"/>
            </w:rPr>
            <m:t>φ=</m:t>
          </m:r>
          <m:r>
            <m:rPr>
              <m:sty m:val="p"/>
            </m:rPr>
            <w:rPr>
              <w:rFonts w:ascii="Cambria Math" w:hAnsi="Cambria Math"/>
              <w:szCs w:val="20"/>
            </w:rPr>
            <m:t>angle</m:t>
          </m:r>
          <m:d>
            <m:dPr>
              <m:ctrlPr>
                <w:rPr>
                  <w:rFonts w:ascii="Cambria Math" w:hAnsi="Cambria Math"/>
                  <w:i/>
                  <w:szCs w:val="20"/>
                </w:rPr>
              </m:ctrlPr>
            </m:dPr>
            <m:e>
              <m:f>
                <m:fPr>
                  <m:type m:val="lin"/>
                  <m:ctrlPr>
                    <w:rPr>
                      <w:rFonts w:ascii="Cambria Math" w:hAnsi="Cambria Math"/>
                      <w:i/>
                      <w:szCs w:val="20"/>
                    </w:rPr>
                  </m:ctrlPr>
                </m:fPr>
                <m:num>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1</m:t>
                      </m:r>
                    </m:sub>
                  </m:sSub>
                  <m:r>
                    <w:rPr>
                      <w:rFonts w:ascii="Cambria Math" w:eastAsia="微软雅黑" w:hAnsi="Cambria Math"/>
                      <w:szCs w:val="20"/>
                    </w:rPr>
                    <m:t>)</m:t>
                  </m:r>
                </m:num>
                <m:den>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2</m:t>
                      </m:r>
                    </m:sub>
                  </m:sSub>
                  <m:r>
                    <w:rPr>
                      <w:rFonts w:ascii="Cambria Math" w:eastAsia="微软雅黑" w:hAnsi="Cambria Math"/>
                      <w:szCs w:val="20"/>
                    </w:rPr>
                    <m:t>)</m:t>
                  </m:r>
                </m:den>
              </m:f>
            </m:e>
          </m:d>
          <m:r>
            <w:rPr>
              <w:rFonts w:ascii="Cambria Math" w:hAnsi="Cambria Math"/>
              <w:szCs w:val="20"/>
            </w:rPr>
            <m:t>=2πτ</m:t>
          </m:r>
          <m:d>
            <m:dPr>
              <m:ctrlPr>
                <w:rPr>
                  <w:rFonts w:ascii="Cambria Math" w:hAnsi="Cambria Math"/>
                  <w:i/>
                  <w:szCs w:val="20"/>
                </w:rPr>
              </m:ctrlPr>
            </m:dPr>
            <m:e>
              <m:r>
                <w:rPr>
                  <w:rFonts w:ascii="Cambria Math" w:hAnsi="Cambria Math"/>
                  <w:szCs w:val="20"/>
                </w:rPr>
                <m:t>f</m:t>
              </m:r>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1</m:t>
                  </m:r>
                </m:sub>
              </m:sSub>
              <m:r>
                <w:rPr>
                  <w:rFonts w:ascii="Cambria Math" w:eastAsia="微软雅黑" w:hAnsi="Cambria Math"/>
                  <w:szCs w:val="20"/>
                </w:rPr>
                <m:t>)-</m:t>
              </m:r>
              <m:r>
                <w:rPr>
                  <w:rFonts w:ascii="Cambria Math" w:hAnsi="Cambria Math"/>
                  <w:szCs w:val="20"/>
                </w:rPr>
                <m:t>f</m:t>
              </m:r>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2</m:t>
                  </m:r>
                </m:sub>
              </m:sSub>
              <m:r>
                <w:rPr>
                  <w:rFonts w:ascii="Cambria Math" w:eastAsia="微软雅黑" w:hAnsi="Cambria Math"/>
                  <w:szCs w:val="20"/>
                </w:rPr>
                <m:t>)</m:t>
              </m:r>
            </m:e>
          </m:d>
        </m:oMath>
      </m:oMathPara>
    </w:p>
    <w:p w:rsidR="009B70BD" w:rsidRDefault="0051047F">
      <w:pPr>
        <w:snapToGrid w:val="0"/>
        <w:spacing w:beforeLines="50" w:before="120" w:afterLines="50" w:after="120" w:line="300" w:lineRule="auto"/>
        <w:rPr>
          <w:rFonts w:eastAsia="微软雅黑"/>
          <w:szCs w:val="20"/>
        </w:rPr>
      </w:pPr>
      <w:r>
        <w:rPr>
          <w:rFonts w:eastAsia="微软雅黑" w:hint="eastAsia"/>
          <w:szCs w:val="20"/>
        </w:rPr>
        <w:t xml:space="preserve">where </w:t>
      </w:r>
      <m:oMath>
        <m:r>
          <w:rPr>
            <w:rFonts w:ascii="Cambria Math" w:hAnsi="Cambria Math"/>
            <w:szCs w:val="20"/>
          </w:rPr>
          <m:t>f</m:t>
        </m:r>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1</m:t>
            </m:r>
          </m:sub>
        </m:sSub>
        <m:r>
          <w:rPr>
            <w:rFonts w:ascii="Cambria Math" w:eastAsia="微软雅黑" w:hAnsi="Cambria Math"/>
            <w:szCs w:val="20"/>
          </w:rPr>
          <m:t>)</m:t>
        </m:r>
      </m:oMath>
      <w:r>
        <w:rPr>
          <w:rFonts w:eastAsia="微软雅黑" w:hAnsi="Cambria Math" w:hint="eastAsia"/>
          <w:szCs w:val="20"/>
        </w:rPr>
        <w:t xml:space="preserve"> and </w:t>
      </w:r>
      <m:oMath>
        <m:r>
          <w:rPr>
            <w:rFonts w:ascii="Cambria Math" w:hAnsi="Cambria Math"/>
            <w:szCs w:val="20"/>
          </w:rPr>
          <m:t>f</m:t>
        </m:r>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2</m:t>
            </m:r>
          </m:sub>
        </m:sSub>
        <m:r>
          <w:rPr>
            <w:rFonts w:ascii="Cambria Math" w:eastAsia="微软雅黑" w:hAnsi="Cambria Math"/>
            <w:szCs w:val="20"/>
          </w:rPr>
          <m:t>)</m:t>
        </m:r>
      </m:oMath>
      <w:r>
        <w:rPr>
          <w:rFonts w:eastAsia="微软雅黑" w:hAnsi="Cambria Math" w:hint="eastAsia"/>
          <w:szCs w:val="20"/>
        </w:rPr>
        <w:t xml:space="preserve"> are the frequencies corresponding to subcarriers </w:t>
      </w:r>
      <m:oMath>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1</m:t>
            </m:r>
          </m:sub>
        </m:sSub>
      </m:oMath>
      <w:r>
        <w:rPr>
          <w:rFonts w:eastAsia="微软雅黑" w:hAnsi="Cambria Math" w:hint="eastAsia"/>
          <w:iCs/>
          <w:szCs w:val="20"/>
        </w:rPr>
        <w:t xml:space="preserve"> and </w:t>
      </w:r>
      <m:oMath>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2</m:t>
            </m:r>
          </m:sub>
        </m:sSub>
      </m:oMath>
      <w:r>
        <w:rPr>
          <w:rFonts w:eastAsia="微软雅黑" w:hAnsi="Cambria Math" w:hint="eastAsia"/>
          <w:iCs/>
          <w:szCs w:val="20"/>
        </w:rPr>
        <w:t xml:space="preserve">, respectively. </w:t>
      </w:r>
      <w:r>
        <w:rPr>
          <w:rFonts w:eastAsia="微软雅黑" w:hint="eastAsia"/>
          <w:szCs w:val="20"/>
        </w:rPr>
        <w:t xml:space="preserve">Therefore, </w:t>
      </w:r>
      <w:r>
        <w:rPr>
          <w:rFonts w:eastAsia="微软雅黑"/>
          <w:szCs w:val="20"/>
        </w:rPr>
        <w:t>a 1-port CSI-RS can be configured for each TRP, and the delay can be derived from the phase shift between two REs carrying the CSI-RS</w:t>
      </w:r>
      <w:r>
        <w:rPr>
          <w:rFonts w:eastAsia="微软雅黑" w:hint="eastAsia"/>
          <w:szCs w:val="20"/>
        </w:rPr>
        <w:t>.</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szCs w:val="20"/>
        </w:rPr>
        <w:t>I</w:t>
      </w:r>
      <w:r>
        <w:rPr>
          <w:rFonts w:eastAsia="微软雅黑" w:hint="eastAsia"/>
          <w:szCs w:val="20"/>
        </w:rPr>
        <w:t>t</w:t>
      </w:r>
      <w:r>
        <w:rPr>
          <w:rFonts w:eastAsia="微软雅黑"/>
          <w:szCs w:val="20"/>
        </w:rPr>
        <w:t xml:space="preserve"> is noted that the maximum measurable delay is determined by the frequency separation </w:t>
      </w:r>
      <m:oMath>
        <m:r>
          <w:rPr>
            <w:rFonts w:ascii="Cambria Math" w:eastAsia="微软雅黑" w:hAnsi="Cambria Math"/>
            <w:szCs w:val="20"/>
          </w:rPr>
          <m:t>∆f</m:t>
        </m:r>
      </m:oMath>
      <w:r>
        <w:rPr>
          <w:rFonts w:eastAsia="微软雅黑"/>
          <w:szCs w:val="20"/>
        </w:rPr>
        <w:t xml:space="preserve"> between two consecutive REs carrying the RS, i.e., </w:t>
      </w:r>
      <m:oMath>
        <m:sSub>
          <m:sSubPr>
            <m:ctrlPr>
              <w:rPr>
                <w:rFonts w:ascii="Cambria Math" w:eastAsia="微软雅黑" w:hAnsi="Cambria Math"/>
                <w:szCs w:val="20"/>
              </w:rPr>
            </m:ctrlPr>
          </m:sSubPr>
          <m:e>
            <m:r>
              <w:rPr>
                <w:rFonts w:ascii="Cambria Math" w:eastAsia="微软雅黑" w:hAnsi="Cambria Math"/>
                <w:szCs w:val="20"/>
              </w:rPr>
              <m:t>τ</m:t>
            </m:r>
          </m:e>
          <m:sub>
            <m:r>
              <m:rPr>
                <m:sty m:val="p"/>
              </m:rPr>
              <w:rPr>
                <w:rFonts w:ascii="Cambria Math" w:eastAsia="微软雅黑" w:hAnsi="Cambria Math"/>
                <w:szCs w:val="20"/>
              </w:rPr>
              <m:t>max</m:t>
            </m:r>
          </m:sub>
        </m:sSub>
        <m:r>
          <w:rPr>
            <w:rFonts w:ascii="Cambria Math" w:eastAsia="微软雅黑" w:hAnsi="Cambria Math"/>
            <w:szCs w:val="20"/>
          </w:rPr>
          <m:t>=</m:t>
        </m:r>
        <m:f>
          <m:fPr>
            <m:ctrlPr>
              <w:rPr>
                <w:rFonts w:ascii="Cambria Math" w:eastAsia="微软雅黑" w:hAnsi="Cambria Math"/>
                <w:i/>
                <w:szCs w:val="20"/>
              </w:rPr>
            </m:ctrlPr>
          </m:fPr>
          <m:num>
            <m:r>
              <w:rPr>
                <w:rFonts w:ascii="Cambria Math" w:eastAsia="微软雅黑" w:hAnsi="Cambria Math"/>
                <w:szCs w:val="20"/>
              </w:rPr>
              <m:t>1</m:t>
            </m:r>
          </m:num>
          <m:den>
            <m:r>
              <w:rPr>
                <w:rFonts w:ascii="Cambria Math" w:eastAsia="微软雅黑" w:hAnsi="Cambria Math"/>
                <w:szCs w:val="20"/>
              </w:rPr>
              <m:t>∆f</m:t>
            </m:r>
          </m:den>
        </m:f>
      </m:oMath>
      <w:r>
        <w:rPr>
          <w:rFonts w:eastAsia="微软雅黑" w:hint="eastAsia"/>
          <w:szCs w:val="20"/>
        </w:rPr>
        <w:t>.</w:t>
      </w:r>
      <w:r>
        <w:rPr>
          <w:rFonts w:eastAsia="微软雅黑"/>
          <w:szCs w:val="20"/>
        </w:rPr>
        <w:t xml:space="preserve"> For RS configuration, it should be guaranteed that all the possible delays are covered in the measurable range. </w:t>
      </w:r>
      <w:r w:rsidR="003D5DB6">
        <w:rPr>
          <w:rFonts w:eastAsia="微软雅黑"/>
          <w:szCs w:val="20"/>
        </w:rPr>
        <w:t>Figure 13</w:t>
      </w:r>
      <w:r>
        <w:rPr>
          <w:rFonts w:eastAsia="微软雅黑"/>
          <w:szCs w:val="20"/>
        </w:rPr>
        <w:t xml:space="preserve"> shows the empirical CDF of the maximum delay offset between TRPs, where the ISD is set as 500m. In the figure, the maximum delay offset does not exceed 3.5 us. Then for 15k</w:t>
      </w:r>
      <w:r>
        <w:rPr>
          <w:rFonts w:eastAsia="微软雅黑" w:hint="eastAsia"/>
          <w:szCs w:val="20"/>
        </w:rPr>
        <w:t>Hz</w:t>
      </w:r>
      <w:r>
        <w:rPr>
          <w:rFonts w:eastAsia="微软雅黑"/>
          <w:szCs w:val="20"/>
        </w:rPr>
        <w:t xml:space="preserve"> SCS, the density of the RS can be set as 1 (as shown in </w:t>
      </w:r>
      <w:r w:rsidR="003D5DB6">
        <w:rPr>
          <w:rFonts w:eastAsia="微软雅黑"/>
          <w:szCs w:val="20"/>
        </w:rPr>
        <w:t>Figure 14</w:t>
      </w:r>
      <w:r>
        <w:rPr>
          <w:rFonts w:eastAsia="微软雅黑"/>
          <w:szCs w:val="20"/>
        </w:rPr>
        <w:t xml:space="preserve">), and the maximum measurable delay is </w:t>
      </w:r>
      <m:oMath>
        <m:sSub>
          <m:sSubPr>
            <m:ctrlPr>
              <w:rPr>
                <w:rFonts w:ascii="Cambria Math" w:eastAsia="微软雅黑" w:hAnsi="Cambria Math"/>
                <w:szCs w:val="20"/>
              </w:rPr>
            </m:ctrlPr>
          </m:sSubPr>
          <m:e>
            <m:r>
              <w:rPr>
                <w:rFonts w:ascii="Cambria Math" w:eastAsia="微软雅黑" w:hAnsi="Cambria Math"/>
                <w:szCs w:val="20"/>
              </w:rPr>
              <m:t>τ</m:t>
            </m:r>
          </m:e>
          <m:sub>
            <m:r>
              <m:rPr>
                <m:sty m:val="p"/>
              </m:rPr>
              <w:rPr>
                <w:rFonts w:ascii="Cambria Math" w:eastAsia="微软雅黑" w:hAnsi="Cambria Math"/>
                <w:szCs w:val="20"/>
              </w:rPr>
              <m:t>max</m:t>
            </m:r>
          </m:sub>
        </m:sSub>
        <m:r>
          <w:rPr>
            <w:rFonts w:ascii="Cambria Math" w:eastAsia="微软雅黑" w:hAnsi="Cambria Math"/>
            <w:szCs w:val="20"/>
          </w:rPr>
          <m:t>=</m:t>
        </m:r>
        <m:f>
          <m:fPr>
            <m:ctrlPr>
              <w:rPr>
                <w:rFonts w:ascii="Cambria Math" w:eastAsia="微软雅黑" w:hAnsi="Cambria Math"/>
                <w:i/>
                <w:szCs w:val="20"/>
              </w:rPr>
            </m:ctrlPr>
          </m:fPr>
          <m:num>
            <m:r>
              <w:rPr>
                <w:rFonts w:ascii="Cambria Math" w:eastAsia="微软雅黑" w:hAnsi="Cambria Math"/>
                <w:szCs w:val="20"/>
              </w:rPr>
              <m:t>1</m:t>
            </m:r>
          </m:num>
          <m:den>
            <m:r>
              <w:rPr>
                <w:rFonts w:ascii="Cambria Math" w:eastAsia="微软雅黑" w:hAnsi="Cambria Math"/>
                <w:szCs w:val="20"/>
              </w:rPr>
              <m:t>∆f</m:t>
            </m:r>
          </m:den>
        </m:f>
        <m:r>
          <w:rPr>
            <w:rFonts w:ascii="Cambria Math" w:eastAsia="微软雅黑" w:hAnsi="Cambria Math"/>
            <w:szCs w:val="20"/>
          </w:rPr>
          <m:t xml:space="preserve">=5.56 </m:t>
        </m:r>
        <m:r>
          <m:rPr>
            <m:sty m:val="p"/>
          </m:rPr>
          <w:rPr>
            <w:rFonts w:ascii="Cambria Math" w:eastAsia="微软雅黑" w:hAnsi="Cambria Math"/>
            <w:szCs w:val="20"/>
          </w:rPr>
          <m:t>μs</m:t>
        </m:r>
      </m:oMath>
      <w:r>
        <w:rPr>
          <w:rFonts w:eastAsia="微软雅黑"/>
          <w:szCs w:val="20"/>
        </w:rPr>
        <w:t>.</w:t>
      </w:r>
    </w:p>
    <w:p w:rsidR="009B70BD" w:rsidRDefault="0051047F">
      <w:pPr>
        <w:tabs>
          <w:tab w:val="left" w:pos="420"/>
        </w:tabs>
        <w:snapToGrid w:val="0"/>
        <w:spacing w:beforeLines="50" w:before="120" w:afterLines="50" w:after="120" w:line="300" w:lineRule="auto"/>
        <w:jc w:val="center"/>
        <w:rPr>
          <w:rFonts w:eastAsia="微软雅黑"/>
          <w:szCs w:val="20"/>
        </w:rPr>
      </w:pPr>
      <w:r>
        <w:rPr>
          <w:noProof/>
        </w:rPr>
        <w:drawing>
          <wp:inline distT="0" distB="0" distL="114300" distR="114300">
            <wp:extent cx="2627630" cy="1970405"/>
            <wp:effectExtent l="0" t="0" r="1270" b="1079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37"/>
                    <a:stretch>
                      <a:fillRect/>
                    </a:stretch>
                  </pic:blipFill>
                  <pic:spPr>
                    <a:xfrm>
                      <a:off x="0" y="0"/>
                      <a:ext cx="2628000" cy="1970921"/>
                    </a:xfrm>
                    <a:prstGeom prst="rect">
                      <a:avLst/>
                    </a:prstGeom>
                    <a:noFill/>
                    <a:ln>
                      <a:noFill/>
                    </a:ln>
                  </pic:spPr>
                </pic:pic>
              </a:graphicData>
            </a:graphic>
          </wp:inline>
        </w:drawing>
      </w:r>
    </w:p>
    <w:p w:rsidR="009B70BD" w:rsidRDefault="003D5DB6">
      <w:pPr>
        <w:snapToGrid w:val="0"/>
        <w:spacing w:beforeLines="50" w:before="120" w:afterLines="50" w:after="120" w:line="300" w:lineRule="auto"/>
        <w:jc w:val="center"/>
        <w:rPr>
          <w:rFonts w:eastAsia="微软雅黑"/>
          <w:szCs w:val="20"/>
        </w:rPr>
      </w:pPr>
      <w:r>
        <w:rPr>
          <w:rFonts w:hint="eastAsia"/>
          <w:b/>
          <w:bCs/>
        </w:rPr>
        <w:lastRenderedPageBreak/>
        <w:t>Figure 13</w:t>
      </w:r>
      <w:r w:rsidR="0051047F">
        <w:rPr>
          <w:rFonts w:hint="eastAsia"/>
        </w:rPr>
        <w:t xml:space="preserve"> </w:t>
      </w:r>
      <w:r w:rsidR="0051047F">
        <w:t>Empirical CDF for the maximum delay offset between TRPs</w:t>
      </w:r>
    </w:p>
    <w:p w:rsidR="009B70BD" w:rsidRDefault="0051047F">
      <w:pPr>
        <w:tabs>
          <w:tab w:val="left" w:pos="432"/>
          <w:tab w:val="left" w:pos="576"/>
        </w:tabs>
        <w:snapToGrid w:val="0"/>
        <w:spacing w:afterLines="50" w:after="120" w:line="25" w:lineRule="atLeast"/>
        <w:jc w:val="center"/>
        <w:rPr>
          <w:b/>
          <w:bCs/>
          <w:sz w:val="21"/>
          <w:szCs w:val="21"/>
        </w:rPr>
      </w:pPr>
      <w:r>
        <w:rPr>
          <w:noProof/>
        </w:rPr>
        <w:drawing>
          <wp:inline distT="0" distB="0" distL="0" distR="0">
            <wp:extent cx="1799590" cy="2461260"/>
            <wp:effectExtent l="0" t="0" r="10160" b="152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8"/>
                    <a:stretch>
                      <a:fillRect/>
                    </a:stretch>
                  </pic:blipFill>
                  <pic:spPr>
                    <a:xfrm>
                      <a:off x="0" y="0"/>
                      <a:ext cx="1800000" cy="2461418"/>
                    </a:xfrm>
                    <a:prstGeom prst="rect">
                      <a:avLst/>
                    </a:prstGeom>
                  </pic:spPr>
                </pic:pic>
              </a:graphicData>
            </a:graphic>
          </wp:inline>
        </w:drawing>
      </w:r>
    </w:p>
    <w:p w:rsidR="009B70BD" w:rsidRDefault="003D5DB6">
      <w:pPr>
        <w:tabs>
          <w:tab w:val="left" w:pos="420"/>
          <w:tab w:val="left" w:pos="576"/>
        </w:tabs>
        <w:snapToGrid w:val="0"/>
        <w:spacing w:afterLines="50" w:after="120" w:line="25" w:lineRule="atLeast"/>
        <w:jc w:val="center"/>
      </w:pPr>
      <w:r>
        <w:rPr>
          <w:rFonts w:hint="eastAsia"/>
          <w:b/>
          <w:bCs/>
        </w:rPr>
        <w:t>Figure 14</w:t>
      </w:r>
      <w:r w:rsidR="0051047F">
        <w:rPr>
          <w:rFonts w:hint="eastAsia"/>
        </w:rPr>
        <w:t xml:space="preserve"> RS configuration for inter</w:t>
      </w:r>
      <w:r w:rsidR="0051047F">
        <w:t>-TRP delay measurement</w:t>
      </w:r>
    </w:p>
    <w:p w:rsidR="009B70BD" w:rsidRDefault="0051047F">
      <w:pPr>
        <w:tabs>
          <w:tab w:val="left" w:pos="420"/>
        </w:tabs>
        <w:snapToGrid w:val="0"/>
        <w:spacing w:beforeLines="50" w:before="120" w:afterLines="50" w:after="120" w:line="300" w:lineRule="auto"/>
        <w:rPr>
          <w:b/>
          <w:bCs/>
          <w:sz w:val="21"/>
          <w:szCs w:val="21"/>
        </w:rPr>
      </w:pPr>
      <w:r>
        <w:rPr>
          <w:rFonts w:eastAsia="微软雅黑"/>
          <w:b/>
          <w:i/>
          <w:szCs w:val="20"/>
        </w:rPr>
        <w:t xml:space="preserve">Proposal </w:t>
      </w:r>
      <w:r w:rsidR="00D46CEA">
        <w:rPr>
          <w:rFonts w:eastAsia="微软雅黑"/>
          <w:b/>
          <w:i/>
          <w:szCs w:val="20"/>
        </w:rPr>
        <w:t>18</w:t>
      </w:r>
      <w:r>
        <w:rPr>
          <w:rFonts w:eastAsia="微软雅黑"/>
          <w:b/>
          <w:i/>
          <w:szCs w:val="20"/>
        </w:rPr>
        <w:t>:</w:t>
      </w:r>
      <w:r>
        <w:rPr>
          <w:rFonts w:eastAsia="微软雅黑"/>
          <w:i/>
          <w:szCs w:val="20"/>
        </w:rPr>
        <w:t xml:space="preserve"> Regarding Rel-19 CJT calibration reporting, support to use a 1-port CSI-RS to measure the delay corresponding to each TRP.</w:t>
      </w:r>
    </w:p>
    <w:p w:rsidR="009B70BD" w:rsidRDefault="0051047F">
      <w:pPr>
        <w:tabs>
          <w:tab w:val="left" w:pos="432"/>
          <w:tab w:val="left" w:pos="576"/>
        </w:tabs>
        <w:snapToGrid w:val="0"/>
        <w:spacing w:afterLines="50" w:after="120" w:line="25" w:lineRule="atLeast"/>
        <w:outlineLvl w:val="2"/>
        <w:rPr>
          <w:b/>
          <w:bCs/>
          <w:sz w:val="21"/>
          <w:szCs w:val="21"/>
        </w:rPr>
      </w:pPr>
      <w:r>
        <w:rPr>
          <w:b/>
          <w:bCs/>
          <w:sz w:val="21"/>
          <w:szCs w:val="21"/>
        </w:rPr>
        <w:t xml:space="preserve">3.2.2 </w:t>
      </w:r>
      <w:r>
        <w:rPr>
          <w:rFonts w:hint="eastAsia"/>
          <w:b/>
          <w:bCs/>
          <w:sz w:val="21"/>
          <w:szCs w:val="21"/>
        </w:rPr>
        <w:t>De</w:t>
      </w:r>
      <w:r>
        <w:rPr>
          <w:b/>
          <w:bCs/>
          <w:sz w:val="21"/>
          <w:szCs w:val="21"/>
        </w:rPr>
        <w:t>lay quantization</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szCs w:val="20"/>
        </w:rPr>
        <w:t xml:space="preserve">Based on above analysis, the range of the delay offsets between different TRPs is mainly determined by the </w:t>
      </w:r>
      <w:r w:rsidR="00001FD7">
        <w:rPr>
          <w:rFonts w:eastAsia="微软雅黑"/>
          <w:szCs w:val="20"/>
        </w:rPr>
        <w:t>oscillator jitter</w:t>
      </w:r>
      <w:r>
        <w:rPr>
          <w:rFonts w:eastAsia="微软雅黑"/>
          <w:szCs w:val="20"/>
        </w:rPr>
        <w:t xml:space="preserve"> and the inter-site distance (ISD). Therefore, the delay offset range may vary across different cells, and the NW has better knowledge of the range than the UE. Naturally, the delay quantization range should be configured by the NW. Then there are two options for the quantization range</w:t>
      </w:r>
      <w:r w:rsidR="0046690F">
        <w:rPr>
          <w:rFonts w:eastAsia="微软雅黑"/>
          <w:szCs w:val="20"/>
        </w:rPr>
        <w:t xml:space="preserve"> </w:t>
      </w:r>
      <w:r w:rsidR="0046690F">
        <w:rPr>
          <w:rFonts w:eastAsia="微软雅黑" w:hint="eastAsia"/>
          <w:szCs w:val="20"/>
        </w:rPr>
        <w:t>con</w:t>
      </w:r>
      <w:r w:rsidR="0046690F">
        <w:rPr>
          <w:rFonts w:eastAsia="微软雅黑"/>
          <w:szCs w:val="20"/>
        </w:rPr>
        <w:t>figuration</w:t>
      </w:r>
      <w:r>
        <w:rPr>
          <w:rFonts w:eastAsia="微软雅黑"/>
          <w:szCs w:val="20"/>
        </w:rPr>
        <w:t>:</w:t>
      </w:r>
    </w:p>
    <w:p w:rsidR="009B70BD" w:rsidRDefault="0051047F">
      <w:pPr>
        <w:numPr>
          <w:ilvl w:val="0"/>
          <w:numId w:val="19"/>
        </w:numPr>
        <w:snapToGrid w:val="0"/>
        <w:spacing w:beforeLines="50" w:before="120" w:afterLines="50" w:after="120" w:line="300" w:lineRule="auto"/>
        <w:rPr>
          <w:rFonts w:eastAsia="微软雅黑"/>
          <w:szCs w:val="20"/>
        </w:rPr>
      </w:pPr>
      <w:r>
        <w:rPr>
          <w:rFonts w:eastAsia="微软雅黑"/>
          <w:szCs w:val="20"/>
        </w:rPr>
        <w:t>Option 1: The NW explicitly configures the quantization range via RRC, and the unit is CP or microsecond;</w:t>
      </w:r>
    </w:p>
    <w:p w:rsidR="009B70BD" w:rsidRDefault="0051047F">
      <w:pPr>
        <w:numPr>
          <w:ilvl w:val="0"/>
          <w:numId w:val="19"/>
        </w:numPr>
        <w:snapToGrid w:val="0"/>
        <w:spacing w:beforeLines="50" w:before="120" w:afterLines="50" w:after="120" w:line="300" w:lineRule="auto"/>
        <w:rPr>
          <w:rFonts w:eastAsia="微软雅黑"/>
          <w:szCs w:val="20"/>
        </w:rPr>
      </w:pPr>
      <w:r>
        <w:rPr>
          <w:rFonts w:eastAsia="微软雅黑"/>
          <w:szCs w:val="20"/>
        </w:rPr>
        <w:t xml:space="preserve">Option 2: The NW implicitly configures the quantization range by RS configuration. i.e., the quantization range is the maximum measurable delay </w:t>
      </w:r>
      <m:oMath>
        <m:sSub>
          <m:sSubPr>
            <m:ctrlPr>
              <w:rPr>
                <w:rFonts w:ascii="Cambria Math" w:eastAsia="微软雅黑" w:hAnsi="Cambria Math"/>
                <w:szCs w:val="20"/>
              </w:rPr>
            </m:ctrlPr>
          </m:sSubPr>
          <m:e>
            <m:r>
              <w:rPr>
                <w:rFonts w:ascii="Cambria Math" w:eastAsia="微软雅黑" w:hAnsi="Cambria Math"/>
                <w:szCs w:val="20"/>
              </w:rPr>
              <m:t>τ</m:t>
            </m:r>
          </m:e>
          <m:sub>
            <m:r>
              <m:rPr>
                <m:sty m:val="p"/>
              </m:rPr>
              <w:rPr>
                <w:rFonts w:ascii="Cambria Math" w:eastAsia="微软雅黑" w:hAnsi="Cambria Math"/>
                <w:szCs w:val="20"/>
              </w:rPr>
              <m:t>max</m:t>
            </m:r>
          </m:sub>
        </m:sSub>
        <m:r>
          <w:rPr>
            <w:rFonts w:ascii="Cambria Math" w:eastAsia="微软雅黑" w:hAnsi="Cambria Math"/>
            <w:szCs w:val="20"/>
          </w:rPr>
          <m:t>=</m:t>
        </m:r>
        <m:f>
          <m:fPr>
            <m:ctrlPr>
              <w:rPr>
                <w:rFonts w:ascii="Cambria Math" w:eastAsia="微软雅黑" w:hAnsi="Cambria Math"/>
                <w:i/>
                <w:szCs w:val="20"/>
              </w:rPr>
            </m:ctrlPr>
          </m:fPr>
          <m:num>
            <m:r>
              <w:rPr>
                <w:rFonts w:ascii="Cambria Math" w:eastAsia="微软雅黑" w:hAnsi="Cambria Math"/>
                <w:szCs w:val="20"/>
              </w:rPr>
              <m:t>1</m:t>
            </m:r>
          </m:num>
          <m:den>
            <m:r>
              <w:rPr>
                <w:rFonts w:ascii="Cambria Math" w:eastAsia="微软雅黑" w:hAnsi="Cambria Math"/>
                <w:szCs w:val="20"/>
              </w:rPr>
              <m:t>∆f</m:t>
            </m:r>
          </m:den>
        </m:f>
      </m:oMath>
      <w:r>
        <w:rPr>
          <w:rFonts w:eastAsia="微软雅黑" w:hint="eastAsia"/>
          <w:szCs w:val="20"/>
        </w:rPr>
        <w:t>.</w:t>
      </w:r>
    </w:p>
    <w:p w:rsidR="009B70BD" w:rsidRDefault="0051047F">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 xml:space="preserve">roposal </w:t>
      </w:r>
      <w:r w:rsidR="00D46CEA">
        <w:rPr>
          <w:rFonts w:eastAsia="微软雅黑"/>
          <w:b/>
          <w:i/>
          <w:szCs w:val="20"/>
        </w:rPr>
        <w:t>19</w:t>
      </w:r>
      <w:r>
        <w:rPr>
          <w:rFonts w:eastAsia="微软雅黑"/>
          <w:b/>
          <w:i/>
          <w:szCs w:val="20"/>
        </w:rPr>
        <w:t>:</w:t>
      </w:r>
      <w:r>
        <w:rPr>
          <w:rFonts w:eastAsia="微软雅黑"/>
          <w:i/>
          <w:szCs w:val="20"/>
        </w:rPr>
        <w:t xml:space="preserve"> Regarding Rel-19 CJT calibration reporting, the delay quantization range is configured by NW, and the following two options can be considered for the quantization range configuration:</w:t>
      </w:r>
    </w:p>
    <w:p w:rsidR="009B70BD" w:rsidRDefault="0051047F">
      <w:pPr>
        <w:numPr>
          <w:ilvl w:val="0"/>
          <w:numId w:val="19"/>
        </w:numPr>
        <w:snapToGrid w:val="0"/>
        <w:spacing w:beforeLines="50" w:before="120" w:afterLines="50" w:after="120" w:line="300" w:lineRule="auto"/>
        <w:rPr>
          <w:rFonts w:eastAsia="微软雅黑"/>
          <w:i/>
          <w:szCs w:val="20"/>
        </w:rPr>
      </w:pPr>
      <w:r>
        <w:rPr>
          <w:rFonts w:eastAsia="微软雅黑" w:hint="eastAsia"/>
          <w:i/>
          <w:szCs w:val="20"/>
        </w:rPr>
        <w:t>O</w:t>
      </w:r>
      <w:r>
        <w:rPr>
          <w:rFonts w:eastAsia="微软雅黑"/>
          <w:i/>
          <w:szCs w:val="20"/>
        </w:rPr>
        <w:t>ption 1: The delay quantization range is explicitly configured by RRC, and the unit CP or a microsecond.</w:t>
      </w:r>
    </w:p>
    <w:p w:rsidR="009B70BD" w:rsidRDefault="0051047F">
      <w:pPr>
        <w:numPr>
          <w:ilvl w:val="0"/>
          <w:numId w:val="19"/>
        </w:numPr>
        <w:snapToGrid w:val="0"/>
        <w:spacing w:beforeLines="50" w:before="120" w:afterLines="50" w:after="120" w:line="300" w:lineRule="auto"/>
        <w:rPr>
          <w:rFonts w:eastAsia="微软雅黑"/>
          <w:i/>
          <w:szCs w:val="20"/>
        </w:rPr>
      </w:pPr>
      <w:r>
        <w:rPr>
          <w:rFonts w:eastAsia="微软雅黑" w:hint="eastAsia"/>
          <w:i/>
          <w:szCs w:val="20"/>
        </w:rPr>
        <w:t>O</w:t>
      </w:r>
      <w:r>
        <w:rPr>
          <w:rFonts w:eastAsia="微软雅黑"/>
          <w:i/>
          <w:szCs w:val="20"/>
        </w:rPr>
        <w:t xml:space="preserve">ption 2: The delay quantization range is implicitly configured by RS configuration, i.e., the delay quantization range is </w:t>
      </w:r>
      <m:oMath>
        <m:f>
          <m:fPr>
            <m:ctrlPr>
              <w:rPr>
                <w:rFonts w:ascii="Cambria Math" w:eastAsia="微软雅黑" w:hAnsi="Cambria Math"/>
                <w:i/>
                <w:szCs w:val="20"/>
              </w:rPr>
            </m:ctrlPr>
          </m:fPr>
          <m:num>
            <m:r>
              <w:rPr>
                <w:rFonts w:ascii="Cambria Math" w:eastAsia="微软雅黑" w:hAnsi="Cambria Math"/>
                <w:szCs w:val="20"/>
              </w:rPr>
              <m:t>1</m:t>
            </m:r>
          </m:num>
          <m:den>
            <m:r>
              <w:rPr>
                <w:rFonts w:ascii="Cambria Math" w:eastAsia="微软雅黑" w:hAnsi="Cambria Math"/>
                <w:szCs w:val="20"/>
              </w:rPr>
              <m:t>∆f</m:t>
            </m:r>
          </m:den>
        </m:f>
      </m:oMath>
      <w:r>
        <w:rPr>
          <w:rFonts w:eastAsia="微软雅黑" w:hint="eastAsia"/>
          <w:i/>
          <w:szCs w:val="20"/>
        </w:rPr>
        <w:t>,</w:t>
      </w:r>
      <w:r>
        <w:rPr>
          <w:rFonts w:eastAsia="微软雅黑"/>
          <w:i/>
          <w:szCs w:val="20"/>
        </w:rPr>
        <w:t xml:space="preserve"> where </w:t>
      </w:r>
      <m:oMath>
        <m:r>
          <w:rPr>
            <w:rFonts w:ascii="Cambria Math" w:eastAsia="微软雅黑" w:hAnsi="Cambria Math"/>
            <w:szCs w:val="20"/>
          </w:rPr>
          <m:t>∆f</m:t>
        </m:r>
      </m:oMath>
      <w:r>
        <w:rPr>
          <w:rFonts w:eastAsia="微软雅黑" w:hint="eastAsia"/>
          <w:i/>
          <w:szCs w:val="20"/>
        </w:rPr>
        <w:t xml:space="preserve"> </w:t>
      </w:r>
      <w:r>
        <w:rPr>
          <w:rFonts w:eastAsia="微软雅黑"/>
          <w:i/>
          <w:szCs w:val="20"/>
        </w:rPr>
        <w:t>is the frequency separation between two consecutive REs carrying the RS.</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szCs w:val="20"/>
        </w:rPr>
        <w:t xml:space="preserve">According to the results in </w:t>
      </w:r>
      <w:r w:rsidR="003D5DB6">
        <w:rPr>
          <w:rFonts w:eastAsia="微软雅黑"/>
          <w:szCs w:val="20"/>
        </w:rPr>
        <w:t>Figure 13</w:t>
      </w:r>
      <w:r>
        <w:rPr>
          <w:rFonts w:eastAsia="微软雅黑"/>
          <w:szCs w:val="20"/>
        </w:rPr>
        <w:t xml:space="preserve">, a delay quantization range of one CP (4.75 us @15kHz) is sufficient for the case where the ISD is 500m. We further evaluate the performance of delay pre-compensation by setting the quantization range as one CP (4.75 us @15kHz SCS), and the quantization </w:t>
      </w:r>
      <w:proofErr w:type="spellStart"/>
      <w:r>
        <w:rPr>
          <w:rFonts w:eastAsia="微软雅黑"/>
          <w:szCs w:val="20"/>
        </w:rPr>
        <w:t>bitwidth</w:t>
      </w:r>
      <w:proofErr w:type="spellEnd"/>
      <w:r>
        <w:rPr>
          <w:rFonts w:eastAsia="微软雅黑"/>
          <w:szCs w:val="20"/>
        </w:rPr>
        <w:t xml:space="preserve"> as 2~6. The SLS results are shown in </w:t>
      </w:r>
      <w:r w:rsidR="003D5DB6">
        <w:rPr>
          <w:rFonts w:eastAsia="微软雅黑"/>
          <w:szCs w:val="20"/>
        </w:rPr>
        <w:t>Figure 15</w:t>
      </w:r>
      <w:r>
        <w:rPr>
          <w:rFonts w:eastAsia="微软雅黑"/>
          <w:szCs w:val="20"/>
        </w:rPr>
        <w:t xml:space="preserve">. </w:t>
      </w:r>
      <w:r>
        <w:rPr>
          <w:rFonts w:eastAsia="微软雅黑" w:hint="eastAsia"/>
          <w:szCs w:val="20"/>
        </w:rPr>
        <w:t>I</w:t>
      </w:r>
      <w:r>
        <w:rPr>
          <w:rFonts w:eastAsia="微软雅黑"/>
          <w:szCs w:val="20"/>
        </w:rPr>
        <w:t xml:space="preserve">t is suggested that the UPT gain becomes saturated </w:t>
      </w:r>
      <w:r w:rsidR="009F4CB1">
        <w:rPr>
          <w:rFonts w:eastAsia="微软雅黑"/>
          <w:szCs w:val="20"/>
        </w:rPr>
        <w:t xml:space="preserve">when </w:t>
      </w:r>
      <w:r>
        <w:rPr>
          <w:rFonts w:eastAsia="微软雅黑"/>
          <w:szCs w:val="20"/>
        </w:rPr>
        <w:t xml:space="preserve">the </w:t>
      </w:r>
      <w:proofErr w:type="spellStart"/>
      <w:r>
        <w:rPr>
          <w:rFonts w:eastAsia="微软雅黑"/>
          <w:szCs w:val="20"/>
        </w:rPr>
        <w:t>bitwidth</w:t>
      </w:r>
      <w:proofErr w:type="spellEnd"/>
      <w:r>
        <w:rPr>
          <w:rFonts w:eastAsia="微软雅黑"/>
          <w:szCs w:val="20"/>
        </w:rPr>
        <w:t xml:space="preserve"> reaches 3. Therefore, the appropriate </w:t>
      </w:r>
      <w:proofErr w:type="spellStart"/>
      <w:r>
        <w:rPr>
          <w:rFonts w:eastAsia="微软雅黑"/>
          <w:szCs w:val="20"/>
        </w:rPr>
        <w:t>bitwithd</w:t>
      </w:r>
      <w:proofErr w:type="spellEnd"/>
      <w:r>
        <w:rPr>
          <w:rFonts w:eastAsia="微软雅黑"/>
          <w:szCs w:val="20"/>
        </w:rPr>
        <w:t xml:space="preserve"> for delay quantization is 3.</w:t>
      </w:r>
    </w:p>
    <w:p w:rsidR="009B70BD" w:rsidRDefault="00560C91">
      <w:pPr>
        <w:tabs>
          <w:tab w:val="left" w:pos="420"/>
        </w:tabs>
        <w:snapToGrid w:val="0"/>
        <w:spacing w:beforeLines="50" w:before="120" w:afterLines="50" w:after="120" w:line="300" w:lineRule="auto"/>
        <w:jc w:val="center"/>
        <w:rPr>
          <w:rFonts w:eastAsia="微软雅黑"/>
          <w:szCs w:val="20"/>
        </w:rPr>
      </w:pPr>
      <w:r>
        <w:rPr>
          <w:noProof/>
        </w:rPr>
        <w:lastRenderedPageBreak/>
        <w:drawing>
          <wp:inline distT="0" distB="0" distL="0" distR="0" wp14:anchorId="3F3F5D91" wp14:editId="68DB479C">
            <wp:extent cx="3341914" cy="2068286"/>
            <wp:effectExtent l="0" t="0" r="11430" b="825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9B70BD" w:rsidRDefault="003D5DB6">
      <w:pPr>
        <w:tabs>
          <w:tab w:val="left" w:pos="420"/>
        </w:tabs>
        <w:snapToGrid w:val="0"/>
        <w:spacing w:beforeLines="50" w:before="120" w:afterLines="50" w:after="120" w:line="300" w:lineRule="auto"/>
        <w:jc w:val="center"/>
        <w:rPr>
          <w:rFonts w:eastAsia="微软雅黑"/>
          <w:szCs w:val="20"/>
        </w:rPr>
      </w:pPr>
      <w:r>
        <w:rPr>
          <w:rFonts w:eastAsia="微软雅黑" w:hint="eastAsia"/>
          <w:b/>
          <w:szCs w:val="20"/>
        </w:rPr>
        <w:t>Figure 15</w:t>
      </w:r>
      <w:r w:rsidR="0051047F">
        <w:rPr>
          <w:rFonts w:eastAsia="微软雅黑"/>
          <w:szCs w:val="20"/>
        </w:rPr>
        <w:t xml:space="preserve"> UPT gain with the delay quantization range set as one CP (4.75 us @15kHz) and the quantization </w:t>
      </w:r>
      <w:proofErr w:type="spellStart"/>
      <w:r w:rsidR="0051047F">
        <w:rPr>
          <w:rFonts w:eastAsia="微软雅黑"/>
          <w:szCs w:val="20"/>
        </w:rPr>
        <w:t>bitwidth</w:t>
      </w:r>
      <w:proofErr w:type="spellEnd"/>
      <w:r w:rsidR="0051047F">
        <w:rPr>
          <w:rFonts w:eastAsia="微软雅黑"/>
          <w:szCs w:val="20"/>
        </w:rPr>
        <w:t xml:space="preserve"> set as 2~6</w:t>
      </w:r>
    </w:p>
    <w:p w:rsidR="009F4CB1" w:rsidRDefault="009F4CB1">
      <w:pPr>
        <w:tabs>
          <w:tab w:val="left" w:pos="420"/>
        </w:tabs>
        <w:snapToGrid w:val="0"/>
        <w:spacing w:beforeLines="50" w:before="120" w:afterLines="50" w:after="120" w:line="300" w:lineRule="auto"/>
        <w:rPr>
          <w:rFonts w:eastAsia="微软雅黑"/>
          <w:b/>
          <w:i/>
          <w:szCs w:val="20"/>
        </w:rPr>
      </w:pPr>
      <w:r>
        <w:rPr>
          <w:rFonts w:eastAsia="微软雅黑" w:hint="eastAsia"/>
          <w:b/>
          <w:i/>
          <w:szCs w:val="20"/>
        </w:rPr>
        <w:t>O</w:t>
      </w:r>
      <w:r>
        <w:rPr>
          <w:rFonts w:eastAsia="微软雅黑"/>
          <w:b/>
          <w:i/>
          <w:szCs w:val="20"/>
        </w:rPr>
        <w:t xml:space="preserve">bservation </w:t>
      </w:r>
      <w:r w:rsidR="003D5DB6">
        <w:rPr>
          <w:rFonts w:eastAsia="微软雅黑"/>
          <w:b/>
          <w:i/>
          <w:szCs w:val="20"/>
        </w:rPr>
        <w:t>7</w:t>
      </w:r>
      <w:r>
        <w:rPr>
          <w:rFonts w:eastAsia="微软雅黑"/>
          <w:b/>
          <w:i/>
          <w:szCs w:val="20"/>
        </w:rPr>
        <w:t xml:space="preserve">: </w:t>
      </w:r>
      <w:r>
        <w:rPr>
          <w:rFonts w:eastAsia="微软雅黑"/>
          <w:i/>
          <w:szCs w:val="20"/>
        </w:rPr>
        <w:t xml:space="preserve">The performance of delay pre-compensation becomes </w:t>
      </w:r>
      <w:r w:rsidRPr="009F4CB1">
        <w:rPr>
          <w:rFonts w:eastAsia="微软雅黑"/>
          <w:i/>
          <w:szCs w:val="20"/>
        </w:rPr>
        <w:t>saturated</w:t>
      </w:r>
      <w:r>
        <w:rPr>
          <w:rFonts w:eastAsia="微软雅黑"/>
          <w:i/>
          <w:szCs w:val="20"/>
        </w:rPr>
        <w:t xml:space="preserve"> when the delay quantization </w:t>
      </w:r>
      <w:proofErr w:type="spellStart"/>
      <w:r>
        <w:rPr>
          <w:rFonts w:eastAsia="微软雅黑"/>
          <w:i/>
          <w:szCs w:val="20"/>
        </w:rPr>
        <w:t>bitwidth</w:t>
      </w:r>
      <w:proofErr w:type="spellEnd"/>
      <w:r>
        <w:rPr>
          <w:rFonts w:eastAsia="微软雅黑"/>
          <w:i/>
          <w:szCs w:val="20"/>
        </w:rPr>
        <w:t xml:space="preserve"> reaches </w:t>
      </w:r>
      <w:r w:rsidR="00261405">
        <w:rPr>
          <w:rFonts w:eastAsia="微软雅黑"/>
          <w:i/>
          <w:szCs w:val="20"/>
        </w:rPr>
        <w:t>3</w:t>
      </w:r>
      <w:r>
        <w:rPr>
          <w:rFonts w:eastAsia="微软雅黑"/>
          <w:i/>
          <w:szCs w:val="20"/>
        </w:rPr>
        <w:t>.</w:t>
      </w:r>
    </w:p>
    <w:p w:rsidR="009B70BD" w:rsidRDefault="0051047F">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 xml:space="preserve">roposal </w:t>
      </w:r>
      <w:r w:rsidR="00D46CEA">
        <w:rPr>
          <w:rFonts w:eastAsia="微软雅黑"/>
          <w:b/>
          <w:i/>
          <w:szCs w:val="20"/>
        </w:rPr>
        <w:t>20</w:t>
      </w:r>
      <w:r>
        <w:rPr>
          <w:rFonts w:eastAsia="微软雅黑"/>
          <w:b/>
          <w:i/>
          <w:szCs w:val="20"/>
        </w:rPr>
        <w:t>:</w:t>
      </w:r>
      <w:r>
        <w:rPr>
          <w:rFonts w:eastAsia="微软雅黑"/>
          <w:i/>
          <w:szCs w:val="20"/>
        </w:rPr>
        <w:t xml:space="preserve"> Regarding Rel-19 CJT calibration reporting, the delay offsets can be quantized by 3 bits as a starting point.</w:t>
      </w:r>
    </w:p>
    <w:p w:rsidR="009B70BD" w:rsidRDefault="0051047F">
      <w:pPr>
        <w:numPr>
          <w:ilvl w:val="1"/>
          <w:numId w:val="8"/>
        </w:numPr>
        <w:snapToGrid w:val="0"/>
        <w:spacing w:afterLines="50" w:after="120" w:line="25" w:lineRule="atLeast"/>
        <w:outlineLvl w:val="1"/>
        <w:rPr>
          <w:b/>
          <w:sz w:val="24"/>
          <w:szCs w:val="20"/>
        </w:rPr>
      </w:pPr>
      <w:r>
        <w:rPr>
          <w:rFonts w:hint="eastAsia"/>
          <w:b/>
          <w:sz w:val="24"/>
          <w:szCs w:val="20"/>
        </w:rPr>
        <w:t>In</w:t>
      </w:r>
      <w:r>
        <w:rPr>
          <w:b/>
          <w:sz w:val="24"/>
          <w:szCs w:val="20"/>
        </w:rPr>
        <w:t>ter-TRP frequency</w:t>
      </w:r>
      <w:r>
        <w:rPr>
          <w:rFonts w:hint="eastAsia"/>
          <w:b/>
          <w:sz w:val="24"/>
          <w:szCs w:val="20"/>
        </w:rPr>
        <w:t xml:space="preserve"> misalignment measurement and reporting</w:t>
      </w:r>
    </w:p>
    <w:p w:rsidR="009B70BD" w:rsidRDefault="0051047F">
      <w:pPr>
        <w:pStyle w:val="aff2"/>
        <w:numPr>
          <w:ilvl w:val="2"/>
          <w:numId w:val="8"/>
        </w:numPr>
        <w:tabs>
          <w:tab w:val="left" w:pos="432"/>
          <w:tab w:val="left" w:pos="576"/>
        </w:tabs>
        <w:snapToGrid w:val="0"/>
        <w:spacing w:afterLines="50" w:after="120" w:line="25" w:lineRule="atLeast"/>
        <w:ind w:firstLineChars="0"/>
        <w:outlineLvl w:val="2"/>
        <w:rPr>
          <w:b/>
          <w:bCs/>
          <w:sz w:val="21"/>
          <w:szCs w:val="21"/>
        </w:rPr>
      </w:pPr>
      <w:r>
        <w:rPr>
          <w:b/>
          <w:bCs/>
          <w:sz w:val="21"/>
          <w:szCs w:val="21"/>
        </w:rPr>
        <w:t>CMR</w:t>
      </w:r>
      <w:r>
        <w:rPr>
          <w:rFonts w:hint="eastAsia"/>
          <w:b/>
          <w:bCs/>
          <w:sz w:val="21"/>
          <w:szCs w:val="21"/>
        </w:rPr>
        <w:t xml:space="preserve"> </w:t>
      </w:r>
      <w:r>
        <w:rPr>
          <w:b/>
          <w:bCs/>
          <w:sz w:val="21"/>
          <w:szCs w:val="21"/>
        </w:rPr>
        <w:t>for frequency measurement</w:t>
      </w:r>
    </w:p>
    <w:p w:rsidR="009B70BD" w:rsidRDefault="0051047F">
      <w:pPr>
        <w:snapToGrid w:val="0"/>
        <w:spacing w:beforeLines="50" w:before="120" w:afterLines="50" w:after="120" w:line="300" w:lineRule="auto"/>
        <w:rPr>
          <w:rFonts w:eastAsia="微软雅黑"/>
          <w:szCs w:val="20"/>
        </w:rPr>
      </w:pPr>
      <w:r>
        <w:rPr>
          <w:rFonts w:eastAsia="微软雅黑" w:hint="eastAsia"/>
          <w:szCs w:val="20"/>
        </w:rPr>
        <w:t xml:space="preserve">In CJT, the TRPs </w:t>
      </w:r>
      <w:r>
        <w:rPr>
          <w:rFonts w:eastAsia="微软雅黑"/>
          <w:szCs w:val="20"/>
        </w:rPr>
        <w:t>should</w:t>
      </w:r>
      <w:r>
        <w:rPr>
          <w:rFonts w:eastAsia="微软雅黑" w:hint="eastAsia"/>
          <w:szCs w:val="20"/>
        </w:rPr>
        <w:t xml:space="preserve"> transmit the data with a consistent carrier frequency. </w:t>
      </w:r>
      <w:r>
        <w:rPr>
          <w:rFonts w:eastAsia="微软雅黑"/>
          <w:szCs w:val="20"/>
        </w:rPr>
        <w:t>However</w:t>
      </w:r>
      <w:r>
        <w:rPr>
          <w:rFonts w:eastAsia="微软雅黑" w:hint="eastAsia"/>
          <w:szCs w:val="20"/>
        </w:rPr>
        <w:t xml:space="preserve">, </w:t>
      </w:r>
      <w:r>
        <w:rPr>
          <w:rFonts w:eastAsia="微软雅黑"/>
          <w:szCs w:val="20"/>
        </w:rPr>
        <w:t xml:space="preserve">there </w:t>
      </w:r>
      <w:r>
        <w:rPr>
          <w:rFonts w:eastAsia="微软雅黑" w:hint="eastAsia"/>
          <w:szCs w:val="20"/>
        </w:rPr>
        <w:t>inevitabl</w:t>
      </w:r>
      <w:r>
        <w:rPr>
          <w:rFonts w:eastAsia="微软雅黑"/>
          <w:szCs w:val="20"/>
        </w:rPr>
        <w:t>y arise frequency differences due to:</w:t>
      </w:r>
    </w:p>
    <w:p w:rsidR="009B70BD" w:rsidRDefault="0051047F">
      <w:pPr>
        <w:numPr>
          <w:ilvl w:val="0"/>
          <w:numId w:val="19"/>
        </w:numPr>
        <w:snapToGrid w:val="0"/>
        <w:spacing w:beforeLines="50" w:before="120" w:afterLines="50" w:after="120" w:line="300" w:lineRule="auto"/>
        <w:rPr>
          <w:rFonts w:eastAsia="微软雅黑"/>
          <w:szCs w:val="20"/>
        </w:rPr>
      </w:pPr>
      <w:r>
        <w:rPr>
          <w:rFonts w:eastAsia="微软雅黑" w:hint="eastAsia"/>
          <w:szCs w:val="20"/>
        </w:rPr>
        <w:t>T</w:t>
      </w:r>
      <w:r>
        <w:rPr>
          <w:rFonts w:eastAsia="微软雅黑"/>
          <w:szCs w:val="20"/>
        </w:rPr>
        <w:t xml:space="preserve">he frequency drifting owning to the oscillator </w:t>
      </w:r>
      <w:r w:rsidR="00001FD7">
        <w:rPr>
          <w:rFonts w:eastAsia="微软雅黑"/>
          <w:szCs w:val="20"/>
        </w:rPr>
        <w:t>central frequency error</w:t>
      </w:r>
      <w:r>
        <w:rPr>
          <w:rFonts w:eastAsia="微软雅黑"/>
          <w:szCs w:val="20"/>
        </w:rPr>
        <w:t>;</w:t>
      </w:r>
    </w:p>
    <w:p w:rsidR="009B70BD" w:rsidRDefault="0051047F">
      <w:pPr>
        <w:numPr>
          <w:ilvl w:val="0"/>
          <w:numId w:val="19"/>
        </w:numPr>
        <w:snapToGrid w:val="0"/>
        <w:spacing w:beforeLines="50" w:before="120" w:afterLines="50" w:after="120" w:line="300" w:lineRule="auto"/>
        <w:rPr>
          <w:rFonts w:eastAsia="微软雅黑"/>
          <w:szCs w:val="20"/>
        </w:rPr>
      </w:pPr>
      <w:r>
        <w:rPr>
          <w:rFonts w:eastAsia="微软雅黑" w:hint="eastAsia"/>
          <w:szCs w:val="20"/>
        </w:rPr>
        <w:t>T</w:t>
      </w:r>
      <w:r>
        <w:rPr>
          <w:rFonts w:eastAsia="微软雅黑"/>
          <w:szCs w:val="20"/>
        </w:rPr>
        <w:t>he distinct Doppler shifts from different TRPs to a UE.</w:t>
      </w:r>
    </w:p>
    <w:p w:rsidR="009B70BD" w:rsidRDefault="0051047F">
      <w:pPr>
        <w:snapToGrid w:val="0"/>
        <w:spacing w:beforeLines="50" w:before="120" w:afterLines="50" w:after="120" w:line="300" w:lineRule="auto"/>
        <w:rPr>
          <w:rFonts w:eastAsia="微软雅黑" w:hAnsi="Cambria Math"/>
          <w:iCs/>
          <w:szCs w:val="20"/>
        </w:rPr>
      </w:pPr>
      <w:r>
        <w:rPr>
          <w:rFonts w:eastAsia="微软雅黑" w:hint="eastAsia"/>
          <w:szCs w:val="20"/>
        </w:rPr>
        <w:t xml:space="preserve">When a UE receives data </w:t>
      </w:r>
      <w:r>
        <w:rPr>
          <w:rFonts w:eastAsia="微软雅黑"/>
          <w:szCs w:val="20"/>
        </w:rPr>
        <w:t>transmitted</w:t>
      </w:r>
      <w:r>
        <w:rPr>
          <w:rFonts w:eastAsia="微软雅黑" w:hint="eastAsia"/>
          <w:szCs w:val="20"/>
        </w:rPr>
        <w:t xml:space="preserve"> from multiple TRPs, a common receiving frequency is applied across all TRPs. Hence, form UE perspective, the inter-TRP frequency differences manifest as inter-TRP carrier </w:t>
      </w:r>
      <w:r>
        <w:rPr>
          <w:rFonts w:eastAsia="微软雅黑"/>
          <w:szCs w:val="20"/>
        </w:rPr>
        <w:t>frequency offset</w:t>
      </w:r>
      <w:r>
        <w:rPr>
          <w:rFonts w:eastAsia="微软雅黑" w:hint="eastAsia"/>
          <w:szCs w:val="20"/>
        </w:rPr>
        <w:t xml:space="preserve"> (CFO) differences. It is well-known that, a CFO </w:t>
      </w:r>
      <w:r>
        <w:rPr>
          <w:rFonts w:eastAsia="微软雅黑"/>
          <w:szCs w:val="20"/>
        </w:rPr>
        <w:t>would</w:t>
      </w:r>
      <w:r>
        <w:rPr>
          <w:rFonts w:eastAsia="微软雅黑" w:hint="eastAsia"/>
          <w:szCs w:val="20"/>
        </w:rPr>
        <w:t xml:space="preserve"> cause a linearly varying phase in the time domain. For subcarrier </w:t>
      </w:r>
      <m:oMath>
        <m:r>
          <w:rPr>
            <w:rFonts w:ascii="Cambria Math" w:eastAsia="微软雅黑" w:hAnsi="Cambria Math"/>
            <w:szCs w:val="20"/>
          </w:rPr>
          <m:t>n</m:t>
        </m:r>
      </m:oMath>
      <w:r>
        <w:rPr>
          <w:rFonts w:eastAsia="微软雅黑" w:hAnsi="Cambria Math" w:hint="eastAsia"/>
          <w:iCs/>
          <w:szCs w:val="20"/>
        </w:rPr>
        <w:t xml:space="preserve">, assuming </w:t>
      </w:r>
      <m:oMath>
        <m:r>
          <w:rPr>
            <w:rFonts w:ascii="Cambria Math" w:eastAsia="微软雅黑" w:hAnsi="Cambria Math"/>
            <w:szCs w:val="20"/>
          </w:rPr>
          <m:t>h(n,</m:t>
        </m:r>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1</m:t>
            </m:r>
          </m:sub>
        </m:sSub>
        <m:r>
          <w:rPr>
            <w:rFonts w:ascii="Cambria Math" w:eastAsia="微软雅黑" w:hAnsi="Cambria Math"/>
            <w:szCs w:val="20"/>
          </w:rPr>
          <m:t>)</m:t>
        </m:r>
      </m:oMath>
      <w:r>
        <w:rPr>
          <w:rFonts w:eastAsia="微软雅黑" w:hAnsi="Cambria Math" w:hint="eastAsia"/>
          <w:szCs w:val="20"/>
        </w:rPr>
        <w:t xml:space="preserve"> and </w:t>
      </w:r>
      <m:oMath>
        <m:r>
          <w:rPr>
            <w:rFonts w:ascii="Cambria Math" w:eastAsia="微软雅黑" w:hAnsi="Cambria Math"/>
            <w:szCs w:val="20"/>
          </w:rPr>
          <m:t>h(n,</m:t>
        </m:r>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2</m:t>
            </m:r>
          </m:sub>
        </m:sSub>
        <m:r>
          <w:rPr>
            <w:rFonts w:ascii="Cambria Math" w:eastAsia="微软雅黑" w:hAnsi="Cambria Math"/>
            <w:szCs w:val="20"/>
          </w:rPr>
          <m:t>)</m:t>
        </m:r>
      </m:oMath>
      <w:r>
        <w:rPr>
          <w:rFonts w:eastAsia="微软雅黑" w:hAnsi="Cambria Math" w:hint="eastAsia"/>
          <w:szCs w:val="20"/>
        </w:rPr>
        <w:t xml:space="preserve"> are the channel responses at time </w:t>
      </w:r>
      <m:oMath>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1</m:t>
            </m:r>
          </m:sub>
        </m:sSub>
      </m:oMath>
      <w:r>
        <w:rPr>
          <w:rFonts w:eastAsia="微软雅黑" w:hAnsi="Cambria Math" w:hint="eastAsia"/>
          <w:iCs/>
          <w:szCs w:val="20"/>
        </w:rPr>
        <w:t xml:space="preserve"> and </w:t>
      </w:r>
      <m:oMath>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2</m:t>
            </m:r>
          </m:sub>
        </m:sSub>
      </m:oMath>
      <w:r>
        <w:rPr>
          <w:rFonts w:eastAsia="微软雅黑" w:hAnsi="Cambria Math" w:hint="eastAsia"/>
          <w:iCs/>
          <w:szCs w:val="20"/>
        </w:rPr>
        <w:t xml:space="preserve">, the phase shift caused by a CFO </w:t>
      </w:r>
      <m:oMath>
        <m:sSub>
          <m:sSubPr>
            <m:ctrlPr>
              <w:rPr>
                <w:rFonts w:ascii="Cambria Math" w:eastAsia="微软雅黑" w:hAnsi="Cambria Math"/>
                <w:iCs/>
                <w:szCs w:val="20"/>
              </w:rPr>
            </m:ctrlPr>
          </m:sSubPr>
          <m:e>
            <m:r>
              <w:rPr>
                <w:rFonts w:ascii="Cambria Math" w:eastAsia="微软雅黑" w:hAnsi="Cambria Math"/>
                <w:szCs w:val="20"/>
              </w:rPr>
              <m:t>f</m:t>
            </m:r>
          </m:e>
          <m:sub>
            <m:r>
              <m:rPr>
                <m:sty m:val="p"/>
              </m:rPr>
              <w:rPr>
                <w:rFonts w:ascii="Cambria Math" w:eastAsia="微软雅黑" w:hAnsi="Cambria Math"/>
                <w:szCs w:val="20"/>
              </w:rPr>
              <m:t>CFO</m:t>
            </m:r>
          </m:sub>
        </m:sSub>
      </m:oMath>
      <w:r>
        <w:rPr>
          <w:rFonts w:eastAsia="微软雅黑" w:hAnsi="Cambria Math" w:hint="eastAsia"/>
          <w:iCs/>
          <w:szCs w:val="20"/>
        </w:rPr>
        <w:t xml:space="preserve"> </w:t>
      </w:r>
      <w:r>
        <w:rPr>
          <w:rFonts w:hAnsi="Cambria Math" w:hint="eastAsia"/>
          <w:szCs w:val="20"/>
        </w:rPr>
        <w:t xml:space="preserve">between </w:t>
      </w:r>
      <m:oMath>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1</m:t>
            </m:r>
          </m:sub>
        </m:sSub>
      </m:oMath>
      <w:r>
        <w:rPr>
          <w:rFonts w:eastAsia="微软雅黑" w:hAnsi="Cambria Math" w:hint="eastAsia"/>
          <w:iCs/>
          <w:szCs w:val="20"/>
        </w:rPr>
        <w:t xml:space="preserve"> and </w:t>
      </w:r>
      <m:oMath>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2</m:t>
            </m:r>
          </m:sub>
        </m:sSub>
      </m:oMath>
      <w:r>
        <w:rPr>
          <w:rFonts w:eastAsia="微软雅黑" w:hAnsi="Cambria Math" w:hint="eastAsia"/>
          <w:iCs/>
          <w:szCs w:val="20"/>
        </w:rPr>
        <w:t xml:space="preserve"> can be expressed as</w:t>
      </w:r>
    </w:p>
    <w:p w:rsidR="009B70BD" w:rsidRDefault="0051047F">
      <w:pPr>
        <w:snapToGrid w:val="0"/>
        <w:spacing w:beforeLines="50" w:before="120" w:afterLines="50" w:after="120" w:line="300" w:lineRule="auto"/>
        <w:rPr>
          <w:rFonts w:hAnsi="Cambria Math"/>
          <w:iCs/>
          <w:szCs w:val="20"/>
        </w:rPr>
      </w:pPr>
      <m:oMathPara>
        <m:oMath>
          <m:r>
            <w:rPr>
              <w:rFonts w:ascii="Cambria Math" w:hAnsi="Cambria Math"/>
              <w:szCs w:val="20"/>
            </w:rPr>
            <m:t>ω</m:t>
          </m:r>
          <m:r>
            <m:rPr>
              <m:sty m:val="p"/>
            </m:rPr>
            <w:rPr>
              <w:rFonts w:ascii="Cambria Math" w:hAnsi="Cambria Math"/>
              <w:szCs w:val="20"/>
            </w:rPr>
            <m:t>=angle</m:t>
          </m:r>
          <m:d>
            <m:dPr>
              <m:ctrlPr>
                <w:rPr>
                  <w:rFonts w:ascii="Cambria Math" w:hAnsi="Cambria Math"/>
                  <w:iCs/>
                  <w:szCs w:val="20"/>
                </w:rPr>
              </m:ctrlPr>
            </m:dPr>
            <m:e>
              <m:f>
                <m:fPr>
                  <m:type m:val="lin"/>
                  <m:ctrlPr>
                    <w:rPr>
                      <w:rFonts w:ascii="Cambria Math" w:hAnsi="Cambria Math"/>
                      <w:i/>
                      <w:szCs w:val="20"/>
                    </w:rPr>
                  </m:ctrlPr>
                </m:fPr>
                <m:num>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1</m:t>
                      </m:r>
                    </m:sub>
                  </m:sSub>
                  <m:r>
                    <w:rPr>
                      <w:rFonts w:ascii="Cambria Math" w:eastAsia="微软雅黑" w:hAnsi="Cambria Math"/>
                      <w:szCs w:val="20"/>
                    </w:rPr>
                    <m:t>)</m:t>
                  </m:r>
                </m:num>
                <m:den>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2</m:t>
                      </m:r>
                    </m:sub>
                  </m:sSub>
                  <m:r>
                    <w:rPr>
                      <w:rFonts w:ascii="Cambria Math" w:eastAsia="微软雅黑" w:hAnsi="Cambria Math"/>
                      <w:szCs w:val="20"/>
                    </w:rPr>
                    <m:t>)</m:t>
                  </m:r>
                </m:den>
              </m:f>
            </m:e>
          </m:d>
          <m:r>
            <m:rPr>
              <m:sty m:val="p"/>
            </m:rPr>
            <w:rPr>
              <w:rFonts w:ascii="Cambria Math" w:hAnsi="Cambria Math"/>
              <w:szCs w:val="20"/>
            </w:rPr>
            <m:t>=2</m:t>
          </m:r>
          <m:r>
            <w:rPr>
              <w:rFonts w:ascii="Cambria Math" w:hAnsi="Cambria Math"/>
              <w:szCs w:val="20"/>
            </w:rPr>
            <m:t>π</m:t>
          </m:r>
          <m:sSub>
            <m:sSubPr>
              <m:ctrlPr>
                <w:rPr>
                  <w:rFonts w:ascii="Cambria Math" w:eastAsia="微软雅黑" w:hAnsi="Cambria Math"/>
                  <w:iCs/>
                  <w:szCs w:val="20"/>
                </w:rPr>
              </m:ctrlPr>
            </m:sSubPr>
            <m:e>
              <m:r>
                <w:rPr>
                  <w:rFonts w:ascii="Cambria Math" w:eastAsia="微软雅黑" w:hAnsi="Cambria Math"/>
                  <w:szCs w:val="20"/>
                </w:rPr>
                <m:t>f</m:t>
              </m:r>
            </m:e>
            <m:sub>
              <m:r>
                <m:rPr>
                  <m:sty m:val="p"/>
                </m:rPr>
                <w:rPr>
                  <w:rFonts w:ascii="Cambria Math" w:eastAsia="微软雅黑" w:hAnsi="Cambria Math"/>
                  <w:szCs w:val="20"/>
                </w:rPr>
                <m:t>CFO</m:t>
              </m:r>
            </m:sub>
          </m:sSub>
          <m:r>
            <w:rPr>
              <w:rFonts w:ascii="Cambria Math" w:hAnsi="Cambria Math"/>
              <w:szCs w:val="20"/>
            </w:rPr>
            <m:t>(</m:t>
          </m:r>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1</m:t>
              </m:r>
            </m:sub>
          </m:sSub>
          <m:r>
            <w:rPr>
              <w:rFonts w:ascii="Cambria Math" w:eastAsia="微软雅黑" w:hAnsi="Cambria Math"/>
              <w:szCs w:val="20"/>
            </w:rPr>
            <m:t>-</m:t>
          </m:r>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2</m:t>
              </m:r>
            </m:sub>
          </m:sSub>
          <m:r>
            <w:rPr>
              <w:rFonts w:ascii="Cambria Math" w:hAnsi="Cambria Math"/>
              <w:szCs w:val="20"/>
            </w:rPr>
            <m:t>)</m:t>
          </m:r>
        </m:oMath>
      </m:oMathPara>
    </w:p>
    <w:p w:rsidR="009B70BD" w:rsidRDefault="0051047F">
      <w:pPr>
        <w:snapToGrid w:val="0"/>
        <w:spacing w:beforeLines="50" w:before="120" w:afterLines="50" w:after="120" w:line="300" w:lineRule="auto"/>
        <w:rPr>
          <w:rFonts w:eastAsia="微软雅黑"/>
          <w:szCs w:val="20"/>
        </w:rPr>
      </w:pPr>
      <w:r>
        <w:rPr>
          <w:rFonts w:eastAsia="微软雅黑" w:hint="eastAsia"/>
          <w:szCs w:val="20"/>
        </w:rPr>
        <w:t xml:space="preserve">Accordingly, </w:t>
      </w:r>
      <w:r>
        <w:rPr>
          <w:rFonts w:eastAsia="微软雅黑"/>
          <w:szCs w:val="20"/>
        </w:rPr>
        <w:t>a pair of 1-port CSI-RS resources can be configured for each TRP to measure the CFO</w:t>
      </w:r>
      <w:r>
        <w:rPr>
          <w:rFonts w:eastAsia="微软雅黑" w:hint="eastAsia"/>
          <w:szCs w:val="20"/>
        </w:rPr>
        <w:t xml:space="preserve">. </w:t>
      </w:r>
      <w:r>
        <w:rPr>
          <w:rFonts w:eastAsia="微软雅黑"/>
          <w:szCs w:val="20"/>
        </w:rPr>
        <w:t>The</w:t>
      </w:r>
      <w:r>
        <w:rPr>
          <w:rFonts w:eastAsia="微软雅黑" w:hint="eastAsia"/>
          <w:szCs w:val="20"/>
        </w:rPr>
        <w:t xml:space="preserve"> two CSI-RS resources share the same subcarriers, but are separated by a time interval.</w:t>
      </w:r>
    </w:p>
    <w:p w:rsidR="009B70BD" w:rsidRDefault="0051047F">
      <w:pPr>
        <w:snapToGrid w:val="0"/>
        <w:spacing w:beforeLines="50" w:before="120" w:afterLines="50" w:after="120" w:line="300" w:lineRule="auto"/>
        <w:rPr>
          <w:rFonts w:eastAsia="微软雅黑"/>
          <w:szCs w:val="20"/>
        </w:rPr>
      </w:pPr>
      <w:r>
        <w:rPr>
          <w:rFonts w:eastAsia="微软雅黑" w:hint="eastAsia"/>
          <w:szCs w:val="20"/>
        </w:rPr>
        <w:t>I</w:t>
      </w:r>
      <w:r>
        <w:rPr>
          <w:rFonts w:eastAsia="微软雅黑"/>
          <w:szCs w:val="20"/>
        </w:rPr>
        <w:t xml:space="preserve">t is noted that the maximum measurable CFO is determined by the time separation </w:t>
      </w:r>
      <m:oMath>
        <m:r>
          <w:rPr>
            <w:rFonts w:ascii="Cambria Math" w:eastAsia="微软雅黑" w:hAnsi="Cambria Math"/>
            <w:szCs w:val="20"/>
          </w:rPr>
          <m:t>∆t</m:t>
        </m:r>
      </m:oMath>
      <w:r>
        <w:rPr>
          <w:rFonts w:eastAsia="微软雅黑"/>
          <w:szCs w:val="20"/>
        </w:rPr>
        <w:t xml:space="preserve"> between the two CSI-RS resources, i.e., </w:t>
      </w:r>
      <m:oMath>
        <m:sSub>
          <m:sSubPr>
            <m:ctrlPr>
              <w:rPr>
                <w:rFonts w:ascii="Cambria Math" w:eastAsia="微软雅黑" w:hAnsi="Cambria Math"/>
                <w:iCs/>
                <w:szCs w:val="20"/>
              </w:rPr>
            </m:ctrlPr>
          </m:sSubPr>
          <m:e>
            <m:r>
              <w:rPr>
                <w:rFonts w:ascii="Cambria Math" w:eastAsia="微软雅黑" w:hAnsi="Cambria Math"/>
                <w:szCs w:val="20"/>
              </w:rPr>
              <m:t>f</m:t>
            </m:r>
          </m:e>
          <m:sub>
            <m:r>
              <m:rPr>
                <m:sty m:val="p"/>
              </m:rPr>
              <w:rPr>
                <w:rFonts w:ascii="Cambria Math" w:eastAsia="微软雅黑" w:hAnsi="Cambria Math"/>
                <w:szCs w:val="20"/>
              </w:rPr>
              <m:t>CFO, max</m:t>
            </m:r>
          </m:sub>
        </m:sSub>
        <m:r>
          <m:rPr>
            <m:sty m:val="p"/>
          </m:rPr>
          <w:rPr>
            <w:rFonts w:ascii="Cambria Math" w:eastAsia="微软雅黑" w:hAnsi="Cambria Math"/>
            <w:szCs w:val="20"/>
          </w:rPr>
          <m:t>=</m:t>
        </m:r>
        <m:f>
          <m:fPr>
            <m:ctrlPr>
              <w:rPr>
                <w:rFonts w:ascii="Cambria Math" w:eastAsia="微软雅黑" w:hAnsi="Cambria Math"/>
                <w:szCs w:val="20"/>
              </w:rPr>
            </m:ctrlPr>
          </m:fPr>
          <m:num>
            <m:r>
              <w:rPr>
                <w:rFonts w:ascii="Cambria Math" w:eastAsia="微软雅黑" w:hAnsi="Cambria Math"/>
                <w:szCs w:val="20"/>
              </w:rPr>
              <m:t>1</m:t>
            </m:r>
          </m:num>
          <m:den>
            <m:r>
              <w:rPr>
                <w:rFonts w:ascii="Cambria Math" w:eastAsia="微软雅黑" w:hAnsi="Cambria Math"/>
                <w:szCs w:val="20"/>
              </w:rPr>
              <m:t>∆t</m:t>
            </m:r>
          </m:den>
        </m:f>
      </m:oMath>
      <w:r>
        <w:rPr>
          <w:rFonts w:eastAsia="微软雅黑"/>
          <w:szCs w:val="20"/>
        </w:rPr>
        <w:t xml:space="preserve">. Clearly, all the possible CFOs should be covered within the measurable range. Based on the assumptions of CJT calibration, the maximum CFO offset between TRPs is approximately 500Hz (400Hz caused by oscillator drifting and 100Hz caused by Doppler shifts). Then, for 15kHz SCS, the time separation between the two CSI-RS resources can be set as 2 slots (as shown in </w:t>
      </w:r>
      <w:r w:rsidR="003D5DB6">
        <w:rPr>
          <w:rFonts w:eastAsia="微软雅黑"/>
          <w:szCs w:val="20"/>
        </w:rPr>
        <w:t>Figure 16</w:t>
      </w:r>
      <w:r>
        <w:rPr>
          <w:rFonts w:eastAsia="微软雅黑"/>
          <w:szCs w:val="20"/>
        </w:rPr>
        <w:t xml:space="preserve">), and the maximum measurable CFO is </w:t>
      </w:r>
      <m:oMath>
        <m:sSub>
          <m:sSubPr>
            <m:ctrlPr>
              <w:rPr>
                <w:rFonts w:ascii="Cambria Math" w:eastAsia="微软雅黑" w:hAnsi="Cambria Math"/>
                <w:iCs/>
                <w:szCs w:val="20"/>
              </w:rPr>
            </m:ctrlPr>
          </m:sSubPr>
          <m:e>
            <m:r>
              <w:rPr>
                <w:rFonts w:ascii="Cambria Math" w:eastAsia="微软雅黑" w:hAnsi="Cambria Math"/>
                <w:szCs w:val="20"/>
              </w:rPr>
              <m:t>f</m:t>
            </m:r>
          </m:e>
          <m:sub>
            <m:r>
              <m:rPr>
                <m:sty m:val="p"/>
              </m:rPr>
              <w:rPr>
                <w:rFonts w:ascii="Cambria Math" w:eastAsia="微软雅黑" w:hAnsi="Cambria Math"/>
                <w:szCs w:val="20"/>
              </w:rPr>
              <m:t>CFO, max</m:t>
            </m:r>
          </m:sub>
        </m:sSub>
        <m:r>
          <m:rPr>
            <m:sty m:val="p"/>
          </m:rPr>
          <w:rPr>
            <w:rFonts w:ascii="Cambria Math" w:eastAsia="微软雅黑" w:hAnsi="Cambria Math"/>
            <w:szCs w:val="20"/>
          </w:rPr>
          <m:t>=</m:t>
        </m:r>
        <m:f>
          <m:fPr>
            <m:ctrlPr>
              <w:rPr>
                <w:rFonts w:ascii="Cambria Math" w:eastAsia="微软雅黑" w:hAnsi="Cambria Math"/>
                <w:szCs w:val="20"/>
              </w:rPr>
            </m:ctrlPr>
          </m:fPr>
          <m:num>
            <m:r>
              <w:rPr>
                <w:rFonts w:ascii="Cambria Math" w:eastAsia="微软雅黑" w:hAnsi="Cambria Math"/>
                <w:szCs w:val="20"/>
              </w:rPr>
              <m:t>1</m:t>
            </m:r>
          </m:num>
          <m:den>
            <m:r>
              <w:rPr>
                <w:rFonts w:ascii="Cambria Math" w:eastAsia="微软雅黑" w:hAnsi="Cambria Math"/>
                <w:szCs w:val="20"/>
              </w:rPr>
              <m:t>∆t</m:t>
            </m:r>
          </m:den>
        </m:f>
        <m:r>
          <m:rPr>
            <m:sty m:val="p"/>
          </m:rPr>
          <w:rPr>
            <w:rFonts w:ascii="Cambria Math" w:eastAsia="微软雅黑" w:hAnsi="Cambria Math"/>
            <w:szCs w:val="20"/>
          </w:rPr>
          <m:t>=500Hz</m:t>
        </m:r>
      </m:oMath>
      <w:r>
        <w:rPr>
          <w:rFonts w:eastAsia="微软雅黑" w:hint="eastAsia"/>
          <w:szCs w:val="20"/>
        </w:rPr>
        <w:t>.</w:t>
      </w:r>
    </w:p>
    <w:p w:rsidR="009B70BD" w:rsidRDefault="0051047F">
      <w:pPr>
        <w:tabs>
          <w:tab w:val="left" w:pos="432"/>
          <w:tab w:val="left" w:pos="576"/>
        </w:tabs>
        <w:snapToGrid w:val="0"/>
        <w:spacing w:afterLines="50" w:after="120" w:line="25" w:lineRule="atLeast"/>
        <w:jc w:val="center"/>
        <w:rPr>
          <w:b/>
          <w:bCs/>
          <w:sz w:val="21"/>
          <w:szCs w:val="21"/>
        </w:rPr>
      </w:pPr>
      <w:r>
        <w:rPr>
          <w:noProof/>
        </w:rPr>
        <w:lastRenderedPageBreak/>
        <w:drawing>
          <wp:inline distT="0" distB="0" distL="0" distR="0">
            <wp:extent cx="4319905" cy="3287395"/>
            <wp:effectExtent l="0" t="0" r="4445"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40"/>
                    <a:stretch>
                      <a:fillRect/>
                    </a:stretch>
                  </pic:blipFill>
                  <pic:spPr>
                    <a:xfrm>
                      <a:off x="0" y="0"/>
                      <a:ext cx="4320000" cy="3288000"/>
                    </a:xfrm>
                    <a:prstGeom prst="rect">
                      <a:avLst/>
                    </a:prstGeom>
                  </pic:spPr>
                </pic:pic>
              </a:graphicData>
            </a:graphic>
          </wp:inline>
        </w:drawing>
      </w:r>
    </w:p>
    <w:p w:rsidR="009B70BD" w:rsidRDefault="003D5DB6">
      <w:pPr>
        <w:tabs>
          <w:tab w:val="left" w:pos="432"/>
          <w:tab w:val="left" w:pos="576"/>
        </w:tabs>
        <w:snapToGrid w:val="0"/>
        <w:spacing w:afterLines="50" w:after="120" w:line="25" w:lineRule="atLeast"/>
        <w:jc w:val="center"/>
      </w:pPr>
      <w:r>
        <w:rPr>
          <w:rFonts w:hint="eastAsia"/>
          <w:b/>
          <w:bCs/>
        </w:rPr>
        <w:t>Figure 1</w:t>
      </w:r>
      <w:r>
        <w:rPr>
          <w:b/>
          <w:bCs/>
        </w:rPr>
        <w:t>6</w:t>
      </w:r>
      <w:r w:rsidR="0051047F">
        <w:rPr>
          <w:rFonts w:hint="eastAsia"/>
        </w:rPr>
        <w:t xml:space="preserve"> RS configuration for inter</w:t>
      </w:r>
      <w:r w:rsidR="0051047F">
        <w:t>-TRP frequency measurement</w:t>
      </w:r>
    </w:p>
    <w:p w:rsidR="009B70BD" w:rsidRDefault="0051047F">
      <w:pPr>
        <w:tabs>
          <w:tab w:val="left" w:pos="432"/>
          <w:tab w:val="left" w:pos="576"/>
        </w:tabs>
        <w:snapToGrid w:val="0"/>
        <w:spacing w:afterLines="50" w:after="120" w:line="25" w:lineRule="atLeast"/>
        <w:rPr>
          <w:rFonts w:eastAsia="微软雅黑"/>
          <w:b/>
          <w:i/>
          <w:szCs w:val="20"/>
        </w:rPr>
      </w:pPr>
      <w:r>
        <w:rPr>
          <w:rFonts w:eastAsia="微软雅黑"/>
          <w:b/>
          <w:i/>
          <w:szCs w:val="20"/>
        </w:rPr>
        <w:t xml:space="preserve">Proposal </w:t>
      </w:r>
      <w:r w:rsidR="00D46CEA">
        <w:rPr>
          <w:rFonts w:eastAsia="微软雅黑"/>
          <w:b/>
          <w:i/>
          <w:szCs w:val="20"/>
        </w:rPr>
        <w:t>21</w:t>
      </w:r>
      <w:r>
        <w:rPr>
          <w:rFonts w:eastAsia="微软雅黑"/>
          <w:b/>
          <w:i/>
          <w:szCs w:val="20"/>
        </w:rPr>
        <w:t xml:space="preserve">: </w:t>
      </w:r>
      <w:r>
        <w:rPr>
          <w:rFonts w:eastAsia="微软雅黑"/>
          <w:i/>
          <w:szCs w:val="20"/>
        </w:rPr>
        <w:t>Regarding Rel-19 CJT calibration reporting, UE shall assume that the measured and reported per-TRP frequency offsets include Doppler shift (if exists).</w:t>
      </w:r>
    </w:p>
    <w:p w:rsidR="009B70BD" w:rsidRDefault="0051047F">
      <w:pPr>
        <w:tabs>
          <w:tab w:val="left" w:pos="432"/>
          <w:tab w:val="left" w:pos="576"/>
        </w:tabs>
        <w:snapToGrid w:val="0"/>
        <w:spacing w:afterLines="50" w:after="120" w:line="25" w:lineRule="atLeast"/>
        <w:rPr>
          <w:b/>
          <w:bCs/>
          <w:sz w:val="21"/>
          <w:szCs w:val="21"/>
        </w:rPr>
      </w:pPr>
      <w:r>
        <w:rPr>
          <w:rFonts w:eastAsia="微软雅黑"/>
          <w:b/>
          <w:i/>
          <w:szCs w:val="20"/>
        </w:rPr>
        <w:t xml:space="preserve">Proposal </w:t>
      </w:r>
      <w:r w:rsidR="00D46CEA">
        <w:rPr>
          <w:rFonts w:eastAsia="微软雅黑"/>
          <w:b/>
          <w:i/>
          <w:szCs w:val="20"/>
        </w:rPr>
        <w:t>22</w:t>
      </w:r>
      <w:r>
        <w:rPr>
          <w:rFonts w:eastAsia="微软雅黑"/>
          <w:b/>
          <w:i/>
          <w:szCs w:val="20"/>
        </w:rPr>
        <w:t>:</w:t>
      </w:r>
      <w:r>
        <w:rPr>
          <w:rFonts w:eastAsia="微软雅黑"/>
          <w:i/>
          <w:szCs w:val="20"/>
        </w:rPr>
        <w:t xml:space="preserve"> Regarding Rel-19 CJT calibration reporting, support to use a pair of 1-port CSI-RSs to measure the CFO corresponding to each TRP.</w:t>
      </w:r>
    </w:p>
    <w:p w:rsidR="009B70BD" w:rsidRDefault="0051047F">
      <w:pPr>
        <w:tabs>
          <w:tab w:val="left" w:pos="420"/>
        </w:tabs>
        <w:snapToGrid w:val="0"/>
        <w:spacing w:beforeLines="50" w:before="120" w:afterLines="50" w:after="120" w:line="300" w:lineRule="auto"/>
        <w:outlineLvl w:val="2"/>
        <w:rPr>
          <w:b/>
          <w:bCs/>
          <w:sz w:val="21"/>
          <w:szCs w:val="21"/>
        </w:rPr>
      </w:pPr>
      <w:r>
        <w:rPr>
          <w:b/>
          <w:bCs/>
          <w:sz w:val="21"/>
          <w:szCs w:val="21"/>
        </w:rPr>
        <w:t>3.3.2 Frequency quantization</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hint="eastAsia"/>
          <w:szCs w:val="20"/>
        </w:rPr>
        <w:t>C</w:t>
      </w:r>
      <w:r>
        <w:rPr>
          <w:rFonts w:eastAsia="微软雅黑"/>
          <w:szCs w:val="20"/>
        </w:rPr>
        <w:t xml:space="preserve">onsidering the Doppler shift is relatively small due to slow UE moving speed in CJT scenario, the maximum CFO is mainly determined by the </w:t>
      </w:r>
      <w:r w:rsidR="00A52DB5">
        <w:rPr>
          <w:rFonts w:eastAsia="微软雅黑"/>
          <w:szCs w:val="20"/>
        </w:rPr>
        <w:t>oscillator central frequency error</w:t>
      </w:r>
      <w:r>
        <w:rPr>
          <w:rFonts w:eastAsia="微软雅黑"/>
          <w:szCs w:val="20"/>
        </w:rPr>
        <w:t>. Since the NW has better knowledge of the carrier frequency drifting than the UE, it is natural that the frequency quantization range should be configured by the NW. Then there are two options for the quantization range quantization:</w:t>
      </w:r>
    </w:p>
    <w:p w:rsidR="009B70BD" w:rsidRDefault="0051047F">
      <w:pPr>
        <w:numPr>
          <w:ilvl w:val="0"/>
          <w:numId w:val="19"/>
        </w:numPr>
        <w:snapToGrid w:val="0"/>
        <w:spacing w:beforeLines="50" w:before="120" w:afterLines="50" w:after="120" w:line="300" w:lineRule="auto"/>
        <w:rPr>
          <w:rFonts w:eastAsia="微软雅黑"/>
          <w:szCs w:val="20"/>
        </w:rPr>
      </w:pPr>
      <w:r>
        <w:rPr>
          <w:rFonts w:eastAsia="微软雅黑"/>
          <w:szCs w:val="20"/>
        </w:rPr>
        <w:t xml:space="preserve">Option 1: </w:t>
      </w:r>
      <w:r>
        <w:rPr>
          <w:rFonts w:eastAsia="微软雅黑" w:hint="eastAsia"/>
          <w:szCs w:val="20"/>
        </w:rPr>
        <w:t>T</w:t>
      </w:r>
      <w:r>
        <w:rPr>
          <w:rFonts w:eastAsia="微软雅黑"/>
          <w:szCs w:val="20"/>
        </w:rPr>
        <w:t>he NW explicitly configures the frequency quantization range via RRC, and the unit is ppm or Hz;</w:t>
      </w:r>
    </w:p>
    <w:p w:rsidR="009B70BD" w:rsidRDefault="0051047F">
      <w:pPr>
        <w:numPr>
          <w:ilvl w:val="0"/>
          <w:numId w:val="19"/>
        </w:numPr>
        <w:snapToGrid w:val="0"/>
        <w:spacing w:beforeLines="50" w:before="120" w:afterLines="50" w:after="120" w:line="300" w:lineRule="auto"/>
        <w:rPr>
          <w:rFonts w:eastAsia="微软雅黑"/>
          <w:szCs w:val="20"/>
        </w:rPr>
      </w:pPr>
      <w:r>
        <w:rPr>
          <w:rFonts w:eastAsia="微软雅黑"/>
          <w:szCs w:val="20"/>
        </w:rPr>
        <w:t xml:space="preserve">Option 2: </w:t>
      </w:r>
      <w:r>
        <w:rPr>
          <w:rFonts w:eastAsia="微软雅黑" w:hint="eastAsia"/>
          <w:szCs w:val="20"/>
        </w:rPr>
        <w:t>T</w:t>
      </w:r>
      <w:r>
        <w:rPr>
          <w:rFonts w:eastAsia="微软雅黑"/>
          <w:szCs w:val="20"/>
        </w:rPr>
        <w:t xml:space="preserve">he NW implicitly configures the frequency quantization range by RS configuration, i.e., the quantization range is the maximum measurable CFO </w:t>
      </w:r>
      <m:oMath>
        <m:sSub>
          <m:sSubPr>
            <m:ctrlPr>
              <w:rPr>
                <w:rFonts w:ascii="Cambria Math" w:eastAsia="微软雅黑" w:hAnsi="Cambria Math"/>
                <w:iCs/>
                <w:szCs w:val="20"/>
              </w:rPr>
            </m:ctrlPr>
          </m:sSubPr>
          <m:e>
            <m:r>
              <w:rPr>
                <w:rFonts w:ascii="Cambria Math" w:eastAsia="微软雅黑" w:hAnsi="Cambria Math"/>
                <w:szCs w:val="20"/>
              </w:rPr>
              <m:t>f</m:t>
            </m:r>
          </m:e>
          <m:sub>
            <m:r>
              <m:rPr>
                <m:sty m:val="p"/>
              </m:rPr>
              <w:rPr>
                <w:rFonts w:ascii="Cambria Math" w:eastAsia="微软雅黑" w:hAnsi="Cambria Math"/>
                <w:szCs w:val="20"/>
              </w:rPr>
              <m:t>CFO, max</m:t>
            </m:r>
          </m:sub>
        </m:sSub>
        <m:r>
          <m:rPr>
            <m:sty m:val="p"/>
          </m:rPr>
          <w:rPr>
            <w:rFonts w:ascii="Cambria Math" w:eastAsia="微软雅黑" w:hAnsi="Cambria Math"/>
            <w:szCs w:val="20"/>
          </w:rPr>
          <m:t>=</m:t>
        </m:r>
        <m:f>
          <m:fPr>
            <m:ctrlPr>
              <w:rPr>
                <w:rFonts w:ascii="Cambria Math" w:eastAsia="微软雅黑" w:hAnsi="Cambria Math"/>
                <w:szCs w:val="20"/>
              </w:rPr>
            </m:ctrlPr>
          </m:fPr>
          <m:num>
            <m:r>
              <w:rPr>
                <w:rFonts w:ascii="Cambria Math" w:eastAsia="微软雅黑" w:hAnsi="Cambria Math"/>
                <w:szCs w:val="20"/>
              </w:rPr>
              <m:t>1</m:t>
            </m:r>
          </m:num>
          <m:den>
            <m:r>
              <w:rPr>
                <w:rFonts w:ascii="Cambria Math" w:eastAsia="微软雅黑" w:hAnsi="Cambria Math"/>
                <w:szCs w:val="20"/>
              </w:rPr>
              <m:t>∆t</m:t>
            </m:r>
          </m:den>
        </m:f>
      </m:oMath>
      <w:r>
        <w:rPr>
          <w:rFonts w:eastAsia="微软雅黑" w:hint="eastAsia"/>
          <w:szCs w:val="20"/>
        </w:rPr>
        <w:t>.</w:t>
      </w:r>
    </w:p>
    <w:p w:rsidR="009B70BD" w:rsidRDefault="0051047F">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 xml:space="preserve">roposal </w:t>
      </w:r>
      <w:r w:rsidR="00D46CEA">
        <w:rPr>
          <w:rFonts w:eastAsia="微软雅黑"/>
          <w:b/>
          <w:i/>
          <w:szCs w:val="20"/>
        </w:rPr>
        <w:t>23</w:t>
      </w:r>
      <w:r>
        <w:rPr>
          <w:rFonts w:eastAsia="微软雅黑"/>
          <w:b/>
          <w:i/>
          <w:szCs w:val="20"/>
        </w:rPr>
        <w:t>:</w:t>
      </w:r>
      <w:r>
        <w:rPr>
          <w:rFonts w:eastAsia="微软雅黑"/>
          <w:i/>
          <w:szCs w:val="20"/>
        </w:rPr>
        <w:t xml:space="preserve"> Regarding Rel-19 CJT calibration reporting, the frequency quantization range is configured by NW, and the following two options can be considered for the quantization range configuration:</w:t>
      </w:r>
    </w:p>
    <w:p w:rsidR="009B70BD" w:rsidRDefault="0051047F">
      <w:pPr>
        <w:numPr>
          <w:ilvl w:val="0"/>
          <w:numId w:val="19"/>
        </w:numPr>
        <w:snapToGrid w:val="0"/>
        <w:spacing w:beforeLines="50" w:before="120" w:afterLines="50" w:after="120" w:line="300" w:lineRule="auto"/>
        <w:rPr>
          <w:rFonts w:eastAsia="微软雅黑"/>
          <w:i/>
          <w:szCs w:val="20"/>
        </w:rPr>
      </w:pPr>
      <w:r>
        <w:rPr>
          <w:rFonts w:eastAsia="微软雅黑" w:hint="eastAsia"/>
          <w:i/>
          <w:szCs w:val="20"/>
        </w:rPr>
        <w:t>O</w:t>
      </w:r>
      <w:r>
        <w:rPr>
          <w:rFonts w:eastAsia="微软雅黑"/>
          <w:i/>
          <w:szCs w:val="20"/>
        </w:rPr>
        <w:t>ption 1: The frequency quantization range is explicitly configured by RRC, and the unit is 0.01 ppm or Hz.</w:t>
      </w:r>
    </w:p>
    <w:p w:rsidR="009B70BD" w:rsidRDefault="0051047F">
      <w:pPr>
        <w:numPr>
          <w:ilvl w:val="0"/>
          <w:numId w:val="19"/>
        </w:numPr>
        <w:snapToGrid w:val="0"/>
        <w:spacing w:beforeLines="50" w:before="120" w:afterLines="50" w:after="120" w:line="300" w:lineRule="auto"/>
        <w:rPr>
          <w:rFonts w:eastAsia="微软雅黑"/>
          <w:i/>
          <w:szCs w:val="20"/>
        </w:rPr>
      </w:pPr>
      <w:r>
        <w:rPr>
          <w:rFonts w:eastAsia="微软雅黑" w:hint="eastAsia"/>
          <w:i/>
          <w:szCs w:val="20"/>
        </w:rPr>
        <w:t>O</w:t>
      </w:r>
      <w:r>
        <w:rPr>
          <w:rFonts w:eastAsia="微软雅黑"/>
          <w:i/>
          <w:szCs w:val="20"/>
        </w:rPr>
        <w:t xml:space="preserve">ption 2: The frequency quantization range is implicitly configured by RS configuration, i.e., the frequency quantization range is </w:t>
      </w:r>
      <m:oMath>
        <m:f>
          <m:fPr>
            <m:ctrlPr>
              <w:rPr>
                <w:rFonts w:ascii="Cambria Math" w:eastAsia="微软雅黑" w:hAnsi="Cambria Math"/>
                <w:szCs w:val="20"/>
              </w:rPr>
            </m:ctrlPr>
          </m:fPr>
          <m:num>
            <m:r>
              <w:rPr>
                <w:rFonts w:ascii="Cambria Math" w:eastAsia="微软雅黑" w:hAnsi="Cambria Math"/>
                <w:szCs w:val="20"/>
              </w:rPr>
              <m:t>1</m:t>
            </m:r>
          </m:num>
          <m:den>
            <m:r>
              <w:rPr>
                <w:rFonts w:ascii="Cambria Math" w:eastAsia="微软雅黑" w:hAnsi="Cambria Math"/>
                <w:szCs w:val="20"/>
              </w:rPr>
              <m:t>∆t</m:t>
            </m:r>
          </m:den>
        </m:f>
      </m:oMath>
      <w:r>
        <w:rPr>
          <w:rFonts w:eastAsia="微软雅黑" w:hint="eastAsia"/>
          <w:i/>
          <w:szCs w:val="20"/>
        </w:rPr>
        <w:t>,</w:t>
      </w:r>
      <w:r>
        <w:rPr>
          <w:rFonts w:eastAsia="微软雅黑"/>
          <w:i/>
          <w:szCs w:val="20"/>
        </w:rPr>
        <w:t xml:space="preserve"> where </w:t>
      </w:r>
      <m:oMath>
        <m:r>
          <w:rPr>
            <w:rFonts w:ascii="Cambria Math" w:eastAsia="微软雅黑" w:hAnsi="Cambria Math"/>
            <w:szCs w:val="20"/>
          </w:rPr>
          <m:t>∆t</m:t>
        </m:r>
      </m:oMath>
      <w:r>
        <w:rPr>
          <w:rFonts w:eastAsia="微软雅黑" w:hint="eastAsia"/>
          <w:i/>
          <w:szCs w:val="20"/>
        </w:rPr>
        <w:t xml:space="preserve"> </w:t>
      </w:r>
      <w:r>
        <w:rPr>
          <w:rFonts w:eastAsia="微软雅黑"/>
          <w:i/>
          <w:szCs w:val="20"/>
        </w:rPr>
        <w:t>is the time separation between two RSs.</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szCs w:val="20"/>
        </w:rPr>
        <w:lastRenderedPageBreak/>
        <w:t xml:space="preserve">Besides, we did not see the essential difference between discrete quantization (Alt 1) and interval quantization (Alt 2). </w:t>
      </w:r>
      <w:r>
        <w:rPr>
          <w:rFonts w:eastAsia="微软雅黑" w:hint="eastAsia"/>
          <w:szCs w:val="20"/>
        </w:rPr>
        <w:t>For</w:t>
      </w:r>
      <w:r>
        <w:rPr>
          <w:rFonts w:eastAsia="微软雅黑"/>
          <w:szCs w:val="20"/>
        </w:rPr>
        <w:t xml:space="preserve"> the sake of simplicity, discrete quantization is slightly preferred. Moreover, there is no exceeding CP issue for frequency reporting, and the ‘out of range’ or ‘invalid’ codepoint is not needed for frequency quantization.</w:t>
      </w:r>
    </w:p>
    <w:p w:rsidR="009B70BD" w:rsidRDefault="0051047F">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 xml:space="preserve">roposal </w:t>
      </w:r>
      <w:r w:rsidR="00D46CEA">
        <w:rPr>
          <w:rFonts w:eastAsia="微软雅黑"/>
          <w:b/>
          <w:i/>
          <w:szCs w:val="20"/>
        </w:rPr>
        <w:t>24</w:t>
      </w:r>
      <w:r>
        <w:rPr>
          <w:rFonts w:eastAsia="微软雅黑"/>
          <w:b/>
          <w:i/>
          <w:szCs w:val="20"/>
        </w:rPr>
        <w:t>:</w:t>
      </w:r>
      <w:r>
        <w:rPr>
          <w:rFonts w:eastAsia="微软雅黑"/>
          <w:i/>
          <w:szCs w:val="20"/>
        </w:rPr>
        <w:t xml:space="preserve"> Regarding Rel-19 CJT calibration reporting, support Alt 1 for frequency quantization.</w:t>
      </w:r>
    </w:p>
    <w:p w:rsidR="009B70BD" w:rsidRDefault="0051047F">
      <w:pPr>
        <w:numPr>
          <w:ilvl w:val="0"/>
          <w:numId w:val="19"/>
        </w:numPr>
        <w:snapToGrid w:val="0"/>
        <w:spacing w:beforeLines="50" w:before="120" w:afterLines="50" w:after="120" w:line="300" w:lineRule="auto"/>
        <w:rPr>
          <w:rFonts w:eastAsia="微软雅黑"/>
          <w:i/>
          <w:szCs w:val="20"/>
        </w:rPr>
      </w:pPr>
      <w:r>
        <w:rPr>
          <w:rFonts w:eastAsia="Calibri"/>
          <w:i/>
        </w:rPr>
        <w:t xml:space="preserve">Alt1. The value of </w:t>
      </w:r>
      <w:proofErr w:type="spellStart"/>
      <w:r>
        <w:rPr>
          <w:rFonts w:eastAsia="Calibri"/>
          <w:i/>
        </w:rPr>
        <w:t>FO</w:t>
      </w:r>
      <w:r>
        <w:rPr>
          <w:rFonts w:eastAsia="Calibri"/>
          <w:i/>
          <w:vertAlign w:val="subscript"/>
        </w:rPr>
        <w:t>n</w:t>
      </w:r>
      <w:proofErr w:type="spellEnd"/>
      <w:r>
        <w:rPr>
          <w:rFonts w:eastAsia="Calibri"/>
          <w:i/>
        </w:rPr>
        <w:t xml:space="preserve"> indicates a uniformly quantized FO between –A</w:t>
      </w:r>
      <w:r>
        <w:rPr>
          <w:rFonts w:eastAsia="Calibri"/>
          <w:i/>
          <w:vertAlign w:val="subscript"/>
        </w:rPr>
        <w:t>FO</w:t>
      </w:r>
      <w:r>
        <w:rPr>
          <w:rFonts w:eastAsia="Calibri"/>
          <w:i/>
        </w:rPr>
        <w:t xml:space="preserve"> and A</w:t>
      </w:r>
      <w:r>
        <w:rPr>
          <w:rFonts w:eastAsia="Calibri"/>
          <w:i/>
          <w:vertAlign w:val="subscript"/>
        </w:rPr>
        <w:t>FO</w:t>
      </w:r>
      <w:r>
        <w:rPr>
          <w:i/>
        </w:rPr>
        <w:t xml:space="preserve">, or 0 and </w:t>
      </w:r>
      <w:r>
        <w:rPr>
          <w:rFonts w:eastAsia="Calibri"/>
          <w:i/>
        </w:rPr>
        <w:t>A</w:t>
      </w:r>
      <w:r>
        <w:rPr>
          <w:rFonts w:eastAsia="Calibri"/>
          <w:i/>
          <w:vertAlign w:val="subscript"/>
        </w:rPr>
        <w:t>FO.</w:t>
      </w:r>
    </w:p>
    <w:p w:rsidR="009B70BD" w:rsidRDefault="0051047F">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 xml:space="preserve">roposal </w:t>
      </w:r>
      <w:r w:rsidR="00D46CEA">
        <w:rPr>
          <w:rFonts w:eastAsia="微软雅黑"/>
          <w:b/>
          <w:i/>
          <w:szCs w:val="20"/>
        </w:rPr>
        <w:t>25</w:t>
      </w:r>
      <w:r>
        <w:rPr>
          <w:rFonts w:eastAsia="微软雅黑"/>
          <w:b/>
          <w:i/>
          <w:szCs w:val="20"/>
        </w:rPr>
        <w:t>:</w:t>
      </w:r>
      <w:r>
        <w:rPr>
          <w:rFonts w:eastAsia="微软雅黑"/>
          <w:i/>
          <w:szCs w:val="20"/>
        </w:rPr>
        <w:t xml:space="preserve"> Regarding Rel-19 CJT calibration reporting, the ‘out of range’ or ‘invalid’ codepoint is not needed for frequency quantization.</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hint="eastAsia"/>
          <w:szCs w:val="20"/>
        </w:rPr>
        <w:t>W</w:t>
      </w:r>
      <w:r>
        <w:rPr>
          <w:rFonts w:eastAsia="微软雅黑"/>
          <w:szCs w:val="20"/>
        </w:rPr>
        <w:t>e evaluated the performance of frequency pre-compensation by setting the quantization range as 500Hz, and the quantization bits as 2~6. The S</w:t>
      </w:r>
      <w:r>
        <w:rPr>
          <w:rFonts w:eastAsia="微软雅黑" w:hint="eastAsia"/>
          <w:szCs w:val="20"/>
        </w:rPr>
        <w:t>LS</w:t>
      </w:r>
      <w:r>
        <w:rPr>
          <w:rFonts w:eastAsia="微软雅黑"/>
          <w:szCs w:val="20"/>
        </w:rPr>
        <w:t xml:space="preserve"> results are shown in </w:t>
      </w:r>
      <w:r w:rsidR="003D5DB6">
        <w:rPr>
          <w:rFonts w:eastAsia="微软雅黑"/>
          <w:szCs w:val="20"/>
        </w:rPr>
        <w:t>Figure 17</w:t>
      </w:r>
      <w:r>
        <w:rPr>
          <w:rFonts w:eastAsia="微软雅黑"/>
          <w:szCs w:val="20"/>
        </w:rPr>
        <w:t xml:space="preserve">. It is observed that the performance gain becomes less significant after the quantization bits exceeding 4. Then the appropriate </w:t>
      </w:r>
      <w:proofErr w:type="spellStart"/>
      <w:r>
        <w:rPr>
          <w:rFonts w:eastAsia="微软雅黑"/>
          <w:szCs w:val="20"/>
        </w:rPr>
        <w:t>bitwidth</w:t>
      </w:r>
      <w:proofErr w:type="spellEnd"/>
      <w:r>
        <w:rPr>
          <w:rFonts w:eastAsia="微软雅黑"/>
          <w:szCs w:val="20"/>
        </w:rPr>
        <w:t xml:space="preserve"> for frequency quantization is 4.  </w:t>
      </w:r>
    </w:p>
    <w:p w:rsidR="009B70BD" w:rsidRDefault="00D13113">
      <w:pPr>
        <w:tabs>
          <w:tab w:val="left" w:pos="420"/>
        </w:tabs>
        <w:snapToGrid w:val="0"/>
        <w:spacing w:beforeLines="50" w:before="120" w:afterLines="50" w:after="120" w:line="300" w:lineRule="auto"/>
        <w:jc w:val="center"/>
        <w:rPr>
          <w:rFonts w:eastAsia="微软雅黑"/>
          <w:szCs w:val="20"/>
        </w:rPr>
      </w:pPr>
      <w:r>
        <w:rPr>
          <w:noProof/>
        </w:rPr>
        <w:drawing>
          <wp:inline distT="0" distB="0" distL="0" distR="0" wp14:anchorId="44DDD839" wp14:editId="225CED69">
            <wp:extent cx="3722914" cy="1725386"/>
            <wp:effectExtent l="0" t="0" r="11430" b="825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9B70BD" w:rsidRDefault="003D5DB6">
      <w:pPr>
        <w:tabs>
          <w:tab w:val="left" w:pos="420"/>
        </w:tabs>
        <w:snapToGrid w:val="0"/>
        <w:spacing w:beforeLines="50" w:before="120" w:afterLines="50" w:after="120" w:line="300" w:lineRule="auto"/>
        <w:jc w:val="center"/>
      </w:pPr>
      <w:r>
        <w:rPr>
          <w:rFonts w:hint="eastAsia"/>
          <w:b/>
          <w:bCs/>
        </w:rPr>
        <w:t>Figure 1</w:t>
      </w:r>
      <w:r>
        <w:rPr>
          <w:b/>
          <w:bCs/>
        </w:rPr>
        <w:t>7</w:t>
      </w:r>
      <w:r w:rsidR="0051047F">
        <w:rPr>
          <w:rFonts w:hint="eastAsia"/>
        </w:rPr>
        <w:t xml:space="preserve"> </w:t>
      </w:r>
      <w:r w:rsidR="0051047F">
        <w:rPr>
          <w:rFonts w:eastAsia="微软雅黑"/>
          <w:szCs w:val="20"/>
        </w:rPr>
        <w:t xml:space="preserve">UPT gain with the frequency quantization range set as 500Hz and the quantization </w:t>
      </w:r>
      <w:proofErr w:type="spellStart"/>
      <w:r w:rsidR="0051047F">
        <w:rPr>
          <w:rFonts w:eastAsia="微软雅黑"/>
          <w:szCs w:val="20"/>
        </w:rPr>
        <w:t>bitwidth</w:t>
      </w:r>
      <w:proofErr w:type="spellEnd"/>
      <w:r w:rsidR="0051047F">
        <w:rPr>
          <w:rFonts w:eastAsia="微软雅黑"/>
          <w:szCs w:val="20"/>
        </w:rPr>
        <w:t xml:space="preserve"> set as 2~6</w:t>
      </w:r>
    </w:p>
    <w:p w:rsidR="009F4CB1" w:rsidRPr="002A74A3" w:rsidRDefault="009F4CB1">
      <w:pPr>
        <w:tabs>
          <w:tab w:val="left" w:pos="420"/>
        </w:tabs>
        <w:snapToGrid w:val="0"/>
        <w:spacing w:beforeLines="50" w:before="120" w:afterLines="50" w:after="120" w:line="300" w:lineRule="auto"/>
        <w:rPr>
          <w:rFonts w:eastAsia="微软雅黑"/>
          <w:i/>
          <w:szCs w:val="20"/>
        </w:rPr>
      </w:pPr>
      <w:r>
        <w:rPr>
          <w:rFonts w:eastAsia="微软雅黑" w:hint="eastAsia"/>
          <w:b/>
          <w:i/>
          <w:szCs w:val="20"/>
        </w:rPr>
        <w:t>O</w:t>
      </w:r>
      <w:r>
        <w:rPr>
          <w:rFonts w:eastAsia="微软雅黑"/>
          <w:b/>
          <w:i/>
          <w:szCs w:val="20"/>
        </w:rPr>
        <w:t xml:space="preserve">bservation </w:t>
      </w:r>
      <w:r w:rsidR="003D5DB6">
        <w:rPr>
          <w:rFonts w:eastAsia="微软雅黑"/>
          <w:b/>
          <w:i/>
          <w:szCs w:val="20"/>
        </w:rPr>
        <w:t>8</w:t>
      </w:r>
      <w:r>
        <w:rPr>
          <w:rFonts w:eastAsia="微软雅黑"/>
          <w:b/>
          <w:i/>
          <w:szCs w:val="20"/>
        </w:rPr>
        <w:t xml:space="preserve">: </w:t>
      </w:r>
      <w:r>
        <w:rPr>
          <w:rFonts w:eastAsia="微软雅黑"/>
          <w:i/>
          <w:szCs w:val="20"/>
        </w:rPr>
        <w:t xml:space="preserve">The performance of frequency pre-compensation becomes </w:t>
      </w:r>
      <w:r w:rsidRPr="009F4CB1">
        <w:rPr>
          <w:rFonts w:eastAsia="微软雅黑"/>
          <w:i/>
          <w:szCs w:val="20"/>
        </w:rPr>
        <w:t>saturated</w:t>
      </w:r>
      <w:r>
        <w:rPr>
          <w:rFonts w:eastAsia="微软雅黑"/>
          <w:i/>
          <w:szCs w:val="20"/>
        </w:rPr>
        <w:t xml:space="preserve"> when the frequency quantization </w:t>
      </w:r>
      <w:proofErr w:type="spellStart"/>
      <w:r>
        <w:rPr>
          <w:rFonts w:eastAsia="微软雅黑"/>
          <w:i/>
          <w:szCs w:val="20"/>
        </w:rPr>
        <w:t>bitwidth</w:t>
      </w:r>
      <w:proofErr w:type="spellEnd"/>
      <w:r>
        <w:rPr>
          <w:rFonts w:eastAsia="微软雅黑"/>
          <w:i/>
          <w:szCs w:val="20"/>
        </w:rPr>
        <w:t xml:space="preserve"> reaches 4.</w:t>
      </w:r>
    </w:p>
    <w:p w:rsidR="009B70BD" w:rsidRDefault="0051047F">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 xml:space="preserve">roposal </w:t>
      </w:r>
      <w:r w:rsidR="00D46CEA">
        <w:rPr>
          <w:rFonts w:eastAsia="微软雅黑"/>
          <w:b/>
          <w:i/>
          <w:szCs w:val="20"/>
        </w:rPr>
        <w:t>26</w:t>
      </w:r>
      <w:r>
        <w:rPr>
          <w:rFonts w:eastAsia="微软雅黑"/>
          <w:b/>
          <w:i/>
          <w:szCs w:val="20"/>
        </w:rPr>
        <w:t>:</w:t>
      </w:r>
      <w:r>
        <w:rPr>
          <w:rFonts w:eastAsia="微软雅黑"/>
          <w:i/>
          <w:szCs w:val="20"/>
        </w:rPr>
        <w:t xml:space="preserve"> Regarding Rel-19 CJT calibration reporting, the CFO offsets can be quantized by 4 bits as a starting point.</w:t>
      </w:r>
    </w:p>
    <w:p w:rsidR="009B70BD" w:rsidRDefault="0051047F">
      <w:pPr>
        <w:numPr>
          <w:ilvl w:val="1"/>
          <w:numId w:val="8"/>
        </w:numPr>
        <w:snapToGrid w:val="0"/>
        <w:spacing w:afterLines="50" w:after="120" w:line="25" w:lineRule="atLeast"/>
        <w:outlineLvl w:val="1"/>
        <w:rPr>
          <w:b/>
          <w:sz w:val="24"/>
          <w:szCs w:val="20"/>
        </w:rPr>
      </w:pPr>
      <w:r>
        <w:rPr>
          <w:rFonts w:hint="eastAsia"/>
          <w:b/>
          <w:sz w:val="24"/>
          <w:szCs w:val="20"/>
        </w:rPr>
        <w:t xml:space="preserve">Inter-TRP </w:t>
      </w:r>
      <w:r>
        <w:rPr>
          <w:b/>
          <w:sz w:val="24"/>
          <w:szCs w:val="20"/>
        </w:rPr>
        <w:t>phase</w:t>
      </w:r>
      <w:r>
        <w:rPr>
          <w:rFonts w:hint="eastAsia"/>
          <w:b/>
          <w:sz w:val="24"/>
          <w:szCs w:val="20"/>
        </w:rPr>
        <w:t xml:space="preserve"> measurement and reporting</w:t>
      </w:r>
    </w:p>
    <w:p w:rsidR="009B70BD" w:rsidRDefault="0051047F">
      <w:pPr>
        <w:tabs>
          <w:tab w:val="left" w:pos="432"/>
        </w:tabs>
        <w:snapToGrid w:val="0"/>
        <w:spacing w:beforeLines="50" w:before="120" w:afterLines="50" w:after="120" w:line="300" w:lineRule="auto"/>
        <w:rPr>
          <w:rFonts w:eastAsia="微软雅黑"/>
          <w:szCs w:val="20"/>
        </w:rPr>
      </w:pPr>
      <w:r>
        <w:rPr>
          <w:rFonts w:eastAsia="微软雅黑"/>
          <w:szCs w:val="20"/>
        </w:rPr>
        <w:t>In RAN1#116 meeting, it is agreed to study whether inter-TRP phase reporting is needed to maintain the reciprocity assumption in TDD CJT. In real deployment, there exists certain phase difference between UL and DL transmission for one TRP. Such UL/DL phase difference could be misaligned among the TRPs. Then it could lead to asymmetric UL/DL CJT channel. In other words, the reciprocity assumption could be broken. Since CJT is an important feature in TDD mode, introducing inter-TRP phase reporting is necessary.</w:t>
      </w:r>
    </w:p>
    <w:p w:rsidR="009B70BD" w:rsidRDefault="0051047F">
      <w:pPr>
        <w:tabs>
          <w:tab w:val="left" w:pos="432"/>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 xml:space="preserve">roposal </w:t>
      </w:r>
      <w:r w:rsidR="00D46CEA">
        <w:rPr>
          <w:rFonts w:eastAsia="微软雅黑"/>
          <w:b/>
          <w:i/>
          <w:szCs w:val="20"/>
        </w:rPr>
        <w:t>27</w:t>
      </w:r>
      <w:r>
        <w:rPr>
          <w:rFonts w:eastAsia="微软雅黑"/>
          <w:b/>
          <w:i/>
          <w:szCs w:val="20"/>
        </w:rPr>
        <w:t>:</w:t>
      </w:r>
      <w:r>
        <w:rPr>
          <w:rFonts w:eastAsia="微软雅黑"/>
          <w:i/>
          <w:szCs w:val="20"/>
        </w:rPr>
        <w:t xml:space="preserve"> Regarding Rel-19 CJT calibration reporting, support inter-TRP phase reporting for reciprocity calibration in TDD.</w:t>
      </w:r>
    </w:p>
    <w:p w:rsidR="009B70BD" w:rsidRDefault="0051047F">
      <w:pPr>
        <w:pStyle w:val="aff2"/>
        <w:numPr>
          <w:ilvl w:val="2"/>
          <w:numId w:val="8"/>
        </w:numPr>
        <w:tabs>
          <w:tab w:val="left" w:pos="432"/>
          <w:tab w:val="left" w:pos="576"/>
        </w:tabs>
        <w:snapToGrid w:val="0"/>
        <w:spacing w:afterLines="50" w:after="120" w:line="25" w:lineRule="atLeast"/>
        <w:ind w:firstLineChars="0"/>
        <w:outlineLvl w:val="2"/>
        <w:rPr>
          <w:b/>
          <w:bCs/>
          <w:sz w:val="21"/>
          <w:szCs w:val="21"/>
        </w:rPr>
      </w:pPr>
      <w:r>
        <w:rPr>
          <w:b/>
          <w:bCs/>
          <w:sz w:val="21"/>
          <w:szCs w:val="21"/>
        </w:rPr>
        <w:t>CMR restriction</w:t>
      </w:r>
      <w:r>
        <w:rPr>
          <w:rFonts w:hint="eastAsia"/>
          <w:b/>
          <w:bCs/>
          <w:sz w:val="21"/>
          <w:szCs w:val="21"/>
        </w:rPr>
        <w:t xml:space="preserve"> </w:t>
      </w:r>
      <w:r>
        <w:rPr>
          <w:b/>
          <w:bCs/>
          <w:sz w:val="21"/>
          <w:szCs w:val="21"/>
        </w:rPr>
        <w:t>for phase measurement</w:t>
      </w:r>
    </w:p>
    <w:p w:rsidR="009B70BD" w:rsidRDefault="0051047F">
      <w:pPr>
        <w:tabs>
          <w:tab w:val="left" w:pos="432"/>
        </w:tabs>
        <w:snapToGrid w:val="0"/>
        <w:spacing w:beforeLines="50" w:before="120" w:afterLines="50" w:after="120" w:line="300" w:lineRule="auto"/>
        <w:rPr>
          <w:rFonts w:eastAsia="微软雅黑"/>
          <w:szCs w:val="20"/>
        </w:rPr>
      </w:pPr>
      <w:r>
        <w:rPr>
          <w:rFonts w:eastAsia="微软雅黑"/>
          <w:szCs w:val="20"/>
        </w:rPr>
        <w:t>For inter-TRP phase reporting, the UE first transmits UL SRS, and then the TRPs transmit DL CSI-RSs. After the UE receives the DL CSI-RSs, it measures and reports the phase offsets among TRPs. I</w:t>
      </w:r>
      <w:r>
        <w:rPr>
          <w:rFonts w:eastAsia="微软雅黑" w:hint="eastAsia"/>
          <w:szCs w:val="20"/>
        </w:rPr>
        <w:t>f</w:t>
      </w:r>
      <w:r>
        <w:rPr>
          <w:rFonts w:eastAsia="微软雅黑"/>
          <w:szCs w:val="20"/>
        </w:rPr>
        <w:t xml:space="preserve"> the DL CSI-RSs are transmitted at different time locations, the channel fluctuation and the UE mobility may introduce additional unwanted phases in the measurement. Therefore, to ensure the accuracy of inter-TRP phase measurement, the DL CSI-RS should be transmitted within a limited time interval. As a starting point, a time interval of 2 slots can be considered.</w:t>
      </w:r>
    </w:p>
    <w:p w:rsidR="009B70BD" w:rsidRDefault="0051047F">
      <w:pPr>
        <w:tabs>
          <w:tab w:val="left" w:pos="432"/>
        </w:tabs>
        <w:snapToGrid w:val="0"/>
        <w:spacing w:beforeLines="50" w:before="120" w:afterLines="50" w:after="120" w:line="300" w:lineRule="auto"/>
        <w:rPr>
          <w:rFonts w:eastAsia="微软雅黑"/>
          <w:szCs w:val="20"/>
        </w:rPr>
      </w:pPr>
      <w:r>
        <w:rPr>
          <w:rFonts w:eastAsia="微软雅黑" w:hint="eastAsia"/>
          <w:b/>
          <w:i/>
          <w:szCs w:val="20"/>
        </w:rPr>
        <w:lastRenderedPageBreak/>
        <w:t>P</w:t>
      </w:r>
      <w:r>
        <w:rPr>
          <w:rFonts w:eastAsia="微软雅黑"/>
          <w:b/>
          <w:i/>
          <w:szCs w:val="20"/>
        </w:rPr>
        <w:t xml:space="preserve">roposal </w:t>
      </w:r>
      <w:r w:rsidR="00D46CEA">
        <w:rPr>
          <w:rFonts w:eastAsia="微软雅黑"/>
          <w:b/>
          <w:i/>
          <w:szCs w:val="20"/>
        </w:rPr>
        <w:t>28</w:t>
      </w:r>
      <w:r>
        <w:rPr>
          <w:rFonts w:eastAsia="微软雅黑"/>
          <w:b/>
          <w:i/>
          <w:szCs w:val="20"/>
        </w:rPr>
        <w:t>:</w:t>
      </w:r>
      <w:r>
        <w:rPr>
          <w:rFonts w:eastAsia="微软雅黑"/>
          <w:i/>
          <w:szCs w:val="20"/>
        </w:rPr>
        <w:t xml:space="preserve"> Regarding Rel-19 CJT calibration reporting, the CSI-RSs for inter-TRP phase measurement should be transmitted with a limited time interval, e.g., 2 slots.</w:t>
      </w:r>
    </w:p>
    <w:p w:rsidR="009B70BD" w:rsidRDefault="0051047F">
      <w:pPr>
        <w:tabs>
          <w:tab w:val="left" w:pos="420"/>
        </w:tabs>
        <w:snapToGrid w:val="0"/>
        <w:spacing w:beforeLines="50" w:before="120" w:afterLines="50" w:after="120" w:line="300" w:lineRule="auto"/>
        <w:outlineLvl w:val="2"/>
        <w:rPr>
          <w:rFonts w:eastAsia="微软雅黑"/>
          <w:szCs w:val="20"/>
        </w:rPr>
      </w:pPr>
      <w:r>
        <w:rPr>
          <w:b/>
          <w:bCs/>
          <w:sz w:val="21"/>
          <w:szCs w:val="21"/>
        </w:rPr>
        <w:t>3.4.2 Phase report format</w:t>
      </w:r>
    </w:p>
    <w:p w:rsidR="009B70BD" w:rsidRDefault="0051047F">
      <w:pPr>
        <w:tabs>
          <w:tab w:val="left" w:pos="420"/>
        </w:tabs>
        <w:snapToGrid w:val="0"/>
        <w:spacing w:beforeLines="50" w:before="120" w:afterLines="50" w:after="120" w:line="300" w:lineRule="auto"/>
        <w:rPr>
          <w:rFonts w:eastAsia="微软雅黑"/>
          <w:iCs/>
          <w:szCs w:val="20"/>
        </w:rPr>
      </w:pPr>
      <w:r>
        <w:rPr>
          <w:rFonts w:eastAsia="微软雅黑"/>
          <w:iCs/>
          <w:szCs w:val="20"/>
        </w:rPr>
        <w:t xml:space="preserve">For each TRP, there may exist UL/DL timing difference in addition of UL/DL phase difference. The UL/DL timing difference may be misaligned among TRPs. Such misaligned UL/DL timing differences across TRPs would result in linearly varying inter-TRP phase differences in </w:t>
      </w:r>
      <w:proofErr w:type="spellStart"/>
      <w:r>
        <w:rPr>
          <w:rFonts w:eastAsia="微软雅黑"/>
          <w:iCs/>
          <w:szCs w:val="20"/>
        </w:rPr>
        <w:t>subbands</w:t>
      </w:r>
      <w:proofErr w:type="spellEnd"/>
      <w:r>
        <w:rPr>
          <w:rFonts w:eastAsia="微软雅黑"/>
          <w:iCs/>
          <w:szCs w:val="20"/>
        </w:rPr>
        <w:t>. Therefore, reporting subband phases is necessary for inter-TRP phase reporting. However, reporting subband phases can incur significant overhead, especially when the bandwidth is wide and the number of antenna ports is large.</w:t>
      </w:r>
    </w:p>
    <w:p w:rsidR="009B70BD" w:rsidRDefault="0051047F">
      <w:pPr>
        <w:tabs>
          <w:tab w:val="left" w:pos="420"/>
        </w:tabs>
        <w:snapToGrid w:val="0"/>
        <w:spacing w:beforeLines="50" w:before="120" w:afterLines="50" w:after="120" w:line="300" w:lineRule="auto"/>
        <w:rPr>
          <w:rFonts w:eastAsia="微软雅黑"/>
          <w:iCs/>
          <w:szCs w:val="20"/>
        </w:rPr>
      </w:pPr>
      <w:r>
        <w:rPr>
          <w:rFonts w:eastAsia="微软雅黑" w:hint="eastAsia"/>
          <w:iCs/>
          <w:szCs w:val="20"/>
        </w:rPr>
        <w:t>A</w:t>
      </w:r>
      <w:r>
        <w:rPr>
          <w:rFonts w:eastAsia="微软雅黑"/>
          <w:iCs/>
          <w:szCs w:val="20"/>
        </w:rPr>
        <w:t xml:space="preserve"> more efficient way for phase reporting is that, the UE reports an initial phase offset </w:t>
      </w:r>
      <m:oMath>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 xml:space="preserve">, n=1, 2, …, </m:t>
        </m:r>
        <m:sSub>
          <m:sSubPr>
            <m:ctrlPr>
              <w:rPr>
                <w:rFonts w:ascii="Cambria Math" w:eastAsia="微软雅黑" w:hAnsi="Cambria Math"/>
                <w:i/>
                <w:iCs/>
                <w:szCs w:val="20"/>
              </w:rPr>
            </m:ctrlPr>
          </m:sSubPr>
          <m:e>
            <m:r>
              <w:rPr>
                <w:rFonts w:ascii="Cambria Math" w:eastAsia="微软雅黑" w:hAnsi="Cambria Math"/>
                <w:szCs w:val="20"/>
              </w:rPr>
              <m:t>N</m:t>
            </m:r>
          </m:e>
          <m:sub>
            <m:r>
              <m:rPr>
                <m:sty m:val="p"/>
              </m:rPr>
              <w:rPr>
                <w:rFonts w:ascii="Cambria Math" w:eastAsia="微软雅黑" w:hAnsi="Cambria Math"/>
                <w:szCs w:val="20"/>
              </w:rPr>
              <m:t>TRP</m:t>
            </m:r>
          </m:sub>
        </m:sSub>
        <m:r>
          <w:rPr>
            <w:rFonts w:ascii="Cambria Math" w:eastAsia="微软雅黑" w:hAnsi="Cambria Math"/>
            <w:szCs w:val="20"/>
          </w:rPr>
          <m:t>-1</m:t>
        </m:r>
      </m:oMath>
      <w:r>
        <w:rPr>
          <w:rFonts w:eastAsia="微软雅黑"/>
          <w:iCs/>
          <w:szCs w:val="20"/>
        </w:rPr>
        <w:t xml:space="preserve"> and a phase offset change</w:t>
      </w:r>
      <w:r>
        <w:rPr>
          <w:rFonts w:eastAsia="微软雅黑" w:hint="eastAsia"/>
          <w:iCs/>
          <w:szCs w:val="20"/>
        </w:rPr>
        <w:t>/</w:t>
      </w:r>
      <w:r>
        <w:rPr>
          <w:rFonts w:eastAsia="微软雅黑"/>
          <w:iCs/>
          <w:szCs w:val="20"/>
        </w:rPr>
        <w:t xml:space="preserve">slope </w:t>
      </w:r>
      <m:oMath>
        <m:r>
          <m:rPr>
            <m:sty m:val="p"/>
          </m:rPr>
          <w:rPr>
            <w:rFonts w:ascii="Cambria Math" w:eastAsia="微软雅黑" w:hAnsi="Cambria Math"/>
            <w:szCs w:val="20"/>
          </w:rPr>
          <m:t>Δ</m:t>
        </m:r>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m:t>
            </m:r>
          </m:sub>
        </m:sSub>
        <m:r>
          <w:rPr>
            <w:rFonts w:ascii="Cambria Math" w:eastAsia="微软雅黑" w:hAnsi="Cambria Math"/>
            <w:szCs w:val="20"/>
          </w:rPr>
          <m:t xml:space="preserve">, n=1, 2, …, </m:t>
        </m:r>
        <m:sSub>
          <m:sSubPr>
            <m:ctrlPr>
              <w:rPr>
                <w:rFonts w:ascii="Cambria Math" w:eastAsia="微软雅黑" w:hAnsi="Cambria Math"/>
                <w:i/>
                <w:iCs/>
                <w:szCs w:val="20"/>
              </w:rPr>
            </m:ctrlPr>
          </m:sSubPr>
          <m:e>
            <m:r>
              <w:rPr>
                <w:rFonts w:ascii="Cambria Math" w:eastAsia="微软雅黑" w:hAnsi="Cambria Math"/>
                <w:szCs w:val="20"/>
              </w:rPr>
              <m:t>N</m:t>
            </m:r>
          </m:e>
          <m:sub>
            <m:r>
              <m:rPr>
                <m:sty m:val="p"/>
              </m:rPr>
              <w:rPr>
                <w:rFonts w:ascii="Cambria Math" w:eastAsia="微软雅黑" w:hAnsi="Cambria Math"/>
                <w:szCs w:val="20"/>
              </w:rPr>
              <m:t>TRP</m:t>
            </m:r>
          </m:sub>
        </m:sSub>
        <m:r>
          <w:rPr>
            <w:rFonts w:ascii="Cambria Math" w:eastAsia="微软雅黑" w:hAnsi="Cambria Math"/>
            <w:szCs w:val="20"/>
          </w:rPr>
          <m:t>-1</m:t>
        </m:r>
      </m:oMath>
      <w:r>
        <w:rPr>
          <w:rFonts w:eastAsia="微软雅黑"/>
          <w:iCs/>
          <w:szCs w:val="20"/>
        </w:rPr>
        <w:t xml:space="preserve"> over a subband for each TRP. Then for the </w:t>
      </w:r>
      <w:r>
        <w:rPr>
          <w:rFonts w:eastAsia="微软雅黑"/>
          <w:i/>
          <w:iCs/>
          <w:szCs w:val="20"/>
        </w:rPr>
        <w:t>n</w:t>
      </w:r>
      <w:r>
        <w:rPr>
          <w:rFonts w:eastAsia="微软雅黑"/>
          <w:iCs/>
          <w:szCs w:val="20"/>
        </w:rPr>
        <w:t>-</w:t>
      </w:r>
      <w:proofErr w:type="spellStart"/>
      <w:r>
        <w:rPr>
          <w:rFonts w:eastAsia="微软雅黑"/>
          <w:iCs/>
          <w:szCs w:val="20"/>
        </w:rPr>
        <w:t>th</w:t>
      </w:r>
      <w:proofErr w:type="spellEnd"/>
      <w:r>
        <w:rPr>
          <w:rFonts w:eastAsia="微软雅黑"/>
          <w:iCs/>
          <w:szCs w:val="20"/>
        </w:rPr>
        <w:t xml:space="preserve"> TRP and the </w:t>
      </w:r>
      <w:r>
        <w:rPr>
          <w:rFonts w:eastAsia="微软雅黑"/>
          <w:i/>
          <w:iCs/>
          <w:szCs w:val="20"/>
        </w:rPr>
        <w:t>m</w:t>
      </w:r>
      <w:r>
        <w:rPr>
          <w:rFonts w:eastAsia="微软雅黑"/>
          <w:iCs/>
          <w:szCs w:val="20"/>
        </w:rPr>
        <w:t>-</w:t>
      </w:r>
      <w:proofErr w:type="spellStart"/>
      <w:r>
        <w:rPr>
          <w:rFonts w:eastAsia="微软雅黑"/>
          <w:iCs/>
          <w:szCs w:val="20"/>
        </w:rPr>
        <w:t>th</w:t>
      </w:r>
      <w:proofErr w:type="spellEnd"/>
      <w:r>
        <w:rPr>
          <w:rFonts w:eastAsia="微软雅黑"/>
          <w:iCs/>
          <w:szCs w:val="20"/>
        </w:rPr>
        <w:t xml:space="preserve"> subband, the corresponding phase offset is</w:t>
      </w:r>
    </w:p>
    <w:p w:rsidR="009B70BD" w:rsidRDefault="00D2139D">
      <w:pPr>
        <w:tabs>
          <w:tab w:val="left" w:pos="420"/>
        </w:tabs>
        <w:snapToGrid w:val="0"/>
        <w:spacing w:beforeLines="50" w:before="120" w:afterLines="50" w:after="120" w:line="300" w:lineRule="auto"/>
        <w:rPr>
          <w:rFonts w:eastAsia="微软雅黑"/>
          <w:iCs/>
          <w:szCs w:val="20"/>
        </w:rPr>
      </w:pPr>
      <m:oMathPara>
        <m:oMathParaPr>
          <m:jc m:val="center"/>
        </m:oMathParaPr>
        <m:oMath>
          <m:d>
            <m:dPr>
              <m:begChr m:val="{"/>
              <m:endChr m:val=""/>
              <m:ctrlPr>
                <w:rPr>
                  <w:rFonts w:ascii="Cambria Math" w:eastAsia="微软雅黑" w:hAnsi="Cambria Math"/>
                  <w:iCs/>
                  <w:szCs w:val="20"/>
                </w:rPr>
              </m:ctrlPr>
            </m:dPr>
            <m:e>
              <m:eqArr>
                <m:eqArrPr>
                  <m:ctrlPr>
                    <w:rPr>
                      <w:rFonts w:ascii="Cambria Math" w:eastAsia="微软雅黑" w:hAnsi="Cambria Math"/>
                      <w:i/>
                      <w:iCs/>
                      <w:szCs w:val="20"/>
                    </w:rPr>
                  </m:ctrlPr>
                </m:eqArrPr>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 m=1</m:t>
                  </m:r>
                </m:e>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m:t>
                  </m:r>
                  <m:d>
                    <m:dPr>
                      <m:ctrlPr>
                        <w:rPr>
                          <w:rFonts w:ascii="Cambria Math" w:eastAsia="微软雅黑" w:hAnsi="Cambria Math"/>
                          <w:iCs/>
                          <w:szCs w:val="20"/>
                        </w:rPr>
                      </m:ctrlPr>
                    </m:dPr>
                    <m:e>
                      <m:r>
                        <w:rPr>
                          <w:rFonts w:ascii="Cambria Math" w:eastAsia="微软雅黑" w:hAnsi="Cambria Math"/>
                          <w:szCs w:val="20"/>
                        </w:rPr>
                        <m:t>m-1</m:t>
                      </m:r>
                    </m:e>
                  </m:d>
                  <m:r>
                    <m:rPr>
                      <m:sty m:val="p"/>
                    </m:rPr>
                    <w:rPr>
                      <w:rFonts w:ascii="Cambria Math" w:eastAsia="微软雅黑" w:hAnsi="Cambria Math"/>
                      <w:szCs w:val="20"/>
                    </w:rPr>
                    <m:t>∙</m:t>
                  </m:r>
                  <m:sSub>
                    <m:sSubPr>
                      <m:ctrlPr>
                        <w:rPr>
                          <w:rFonts w:ascii="Cambria Math" w:eastAsia="微软雅黑" w:hAnsi="Cambria Math"/>
                          <w:iCs/>
                          <w:szCs w:val="20"/>
                        </w:rPr>
                      </m:ctrlPr>
                    </m:sSubPr>
                    <m:e>
                      <m:r>
                        <m:rPr>
                          <m:sty m:val="p"/>
                        </m:rPr>
                        <w:rPr>
                          <w:rFonts w:ascii="Cambria Math" w:eastAsia="微软雅黑" w:hAnsi="Cambria Math"/>
                          <w:szCs w:val="20"/>
                        </w:rPr>
                        <m:t>ΔΦ</m:t>
                      </m:r>
                    </m:e>
                    <m:sub>
                      <m:r>
                        <w:rPr>
                          <w:rFonts w:ascii="Cambria Math" w:eastAsia="微软雅黑" w:hAnsi="Cambria Math"/>
                          <w:szCs w:val="20"/>
                        </w:rPr>
                        <m:t>n</m:t>
                      </m:r>
                    </m:sub>
                  </m:sSub>
                  <m:r>
                    <w:rPr>
                      <w:rFonts w:ascii="Cambria Math" w:eastAsia="微软雅黑" w:hAnsi="Cambria Math"/>
                      <w:szCs w:val="20"/>
                    </w:rPr>
                    <m:t>, m&gt;1</m:t>
                  </m:r>
                </m:e>
              </m:eqArr>
            </m:e>
          </m:d>
        </m:oMath>
      </m:oMathPara>
    </w:p>
    <w:p w:rsidR="009B70BD" w:rsidRDefault="0051047F">
      <w:pPr>
        <w:tabs>
          <w:tab w:val="left" w:pos="420"/>
        </w:tabs>
        <w:snapToGrid w:val="0"/>
        <w:spacing w:beforeLines="50" w:before="120" w:afterLines="50" w:after="120" w:line="300" w:lineRule="auto"/>
        <w:rPr>
          <w:rFonts w:eastAsia="微软雅黑"/>
          <w:i/>
          <w:iCs/>
          <w:szCs w:val="20"/>
        </w:rPr>
      </w:pPr>
      <w:r>
        <w:rPr>
          <w:rFonts w:eastAsia="微软雅黑" w:hint="eastAsia"/>
          <w:b/>
          <w:i/>
          <w:szCs w:val="20"/>
        </w:rPr>
        <w:t>P</w:t>
      </w:r>
      <w:r>
        <w:rPr>
          <w:rFonts w:eastAsia="微软雅黑"/>
          <w:b/>
          <w:i/>
          <w:szCs w:val="20"/>
        </w:rPr>
        <w:t xml:space="preserve">roposal </w:t>
      </w:r>
      <w:r w:rsidR="00D46CEA">
        <w:rPr>
          <w:rFonts w:eastAsia="微软雅黑"/>
          <w:b/>
          <w:i/>
          <w:szCs w:val="20"/>
        </w:rPr>
        <w:t>29</w:t>
      </w:r>
      <w:r>
        <w:rPr>
          <w:rFonts w:eastAsia="微软雅黑"/>
          <w:b/>
          <w:i/>
          <w:szCs w:val="20"/>
        </w:rPr>
        <w:t>:</w:t>
      </w:r>
      <w:r>
        <w:rPr>
          <w:rFonts w:eastAsia="微软雅黑"/>
          <w:i/>
          <w:szCs w:val="20"/>
        </w:rPr>
        <w:t xml:space="preserve"> Regarding Rel-19 CJT calibration reporting, support to report </w:t>
      </w:r>
      <w:r>
        <w:rPr>
          <w:rFonts w:eastAsia="微软雅黑"/>
          <w:i/>
          <w:iCs/>
          <w:szCs w:val="20"/>
        </w:rPr>
        <w:t xml:space="preserve">an initial phase offset </w:t>
      </w:r>
      <m:oMath>
        <m:sSub>
          <m:sSubPr>
            <m:ctrlPr>
              <w:rPr>
                <w:rFonts w:ascii="Cambria Math" w:eastAsia="微软雅黑" w:hAnsi="Cambria Math"/>
                <w:i/>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 xml:space="preserve">, n=1, 2, …, </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TRP</m:t>
            </m:r>
          </m:sub>
        </m:sSub>
        <m:r>
          <w:rPr>
            <w:rFonts w:ascii="Cambria Math" w:eastAsia="微软雅黑" w:hAnsi="Cambria Math"/>
            <w:szCs w:val="20"/>
          </w:rPr>
          <m:t>-1</m:t>
        </m:r>
      </m:oMath>
      <w:r>
        <w:rPr>
          <w:rFonts w:eastAsia="微软雅黑"/>
          <w:i/>
          <w:iCs/>
          <w:szCs w:val="20"/>
        </w:rPr>
        <w:t xml:space="preserve"> and a phase offset change</w:t>
      </w:r>
      <w:r>
        <w:rPr>
          <w:rFonts w:eastAsia="微软雅黑" w:hint="eastAsia"/>
          <w:i/>
          <w:iCs/>
          <w:szCs w:val="20"/>
        </w:rPr>
        <w:t>/</w:t>
      </w:r>
      <w:r>
        <w:rPr>
          <w:rFonts w:eastAsia="微软雅黑"/>
          <w:i/>
          <w:iCs/>
          <w:szCs w:val="20"/>
        </w:rPr>
        <w:t xml:space="preserve">slope </w:t>
      </w:r>
      <m:oMath>
        <m:r>
          <m:rPr>
            <m:sty m:val="p"/>
          </m:rPr>
          <w:rPr>
            <w:rFonts w:ascii="Cambria Math" w:eastAsia="微软雅黑" w:hAnsi="Cambria Math"/>
            <w:szCs w:val="20"/>
          </w:rPr>
          <m:t>Δ</m:t>
        </m:r>
        <m:sSub>
          <m:sSubPr>
            <m:ctrlPr>
              <w:rPr>
                <w:rFonts w:ascii="Cambria Math" w:eastAsia="微软雅黑" w:hAnsi="Cambria Math"/>
                <w:i/>
                <w:iCs/>
                <w:szCs w:val="20"/>
              </w:rPr>
            </m:ctrlPr>
          </m:sSubPr>
          <m:e>
            <m:r>
              <m:rPr>
                <m:sty m:val="p"/>
              </m:rPr>
              <w:rPr>
                <w:rFonts w:ascii="Cambria Math" w:eastAsia="微软雅黑" w:hAnsi="Cambria Math"/>
                <w:szCs w:val="20"/>
              </w:rPr>
              <m:t>Φ</m:t>
            </m:r>
          </m:e>
          <m:sub>
            <m:r>
              <w:rPr>
                <w:rFonts w:ascii="Cambria Math" w:eastAsia="微软雅黑" w:hAnsi="Cambria Math"/>
                <w:szCs w:val="20"/>
              </w:rPr>
              <m:t>n</m:t>
            </m:r>
          </m:sub>
        </m:sSub>
        <m:r>
          <w:rPr>
            <w:rFonts w:ascii="Cambria Math" w:eastAsia="微软雅黑" w:hAnsi="Cambria Math"/>
            <w:szCs w:val="20"/>
          </w:rPr>
          <m:t xml:space="preserve">, n=1, 2, …, </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TRP</m:t>
            </m:r>
          </m:sub>
        </m:sSub>
        <m:r>
          <w:rPr>
            <w:rFonts w:ascii="Cambria Math" w:eastAsia="微软雅黑" w:hAnsi="Cambria Math"/>
            <w:szCs w:val="20"/>
          </w:rPr>
          <m:t>-1</m:t>
        </m:r>
      </m:oMath>
      <w:r>
        <w:rPr>
          <w:rFonts w:eastAsia="微软雅黑"/>
          <w:i/>
          <w:iCs/>
          <w:szCs w:val="20"/>
        </w:rPr>
        <w:t xml:space="preserve"> over a subband for each TRP.</w:t>
      </w:r>
    </w:p>
    <w:p w:rsidR="009B70BD" w:rsidRDefault="0051047F">
      <w:pPr>
        <w:numPr>
          <w:ilvl w:val="0"/>
          <w:numId w:val="19"/>
        </w:numPr>
        <w:tabs>
          <w:tab w:val="clear" w:pos="420"/>
        </w:tabs>
        <w:snapToGrid w:val="0"/>
        <w:spacing w:beforeLines="50" w:before="120" w:afterLines="50" w:after="120" w:line="300" w:lineRule="auto"/>
        <w:rPr>
          <w:rFonts w:eastAsia="微软雅黑"/>
          <w:i/>
          <w:iCs/>
          <w:szCs w:val="20"/>
        </w:rPr>
      </w:pPr>
      <w:r>
        <w:rPr>
          <w:rFonts w:eastAsia="微软雅黑"/>
          <w:i/>
          <w:iCs/>
          <w:szCs w:val="20"/>
        </w:rPr>
        <w:t>For the n-</w:t>
      </w:r>
      <w:proofErr w:type="spellStart"/>
      <w:r>
        <w:rPr>
          <w:rFonts w:eastAsia="微软雅黑"/>
          <w:i/>
          <w:iCs/>
          <w:szCs w:val="20"/>
        </w:rPr>
        <w:t>th</w:t>
      </w:r>
      <w:proofErr w:type="spellEnd"/>
      <w:r>
        <w:rPr>
          <w:rFonts w:eastAsia="微软雅黑"/>
          <w:i/>
          <w:iCs/>
          <w:szCs w:val="20"/>
        </w:rPr>
        <w:t xml:space="preserve"> TRP and the m-</w:t>
      </w:r>
      <w:proofErr w:type="spellStart"/>
      <w:r>
        <w:rPr>
          <w:rFonts w:eastAsia="微软雅黑"/>
          <w:i/>
          <w:iCs/>
          <w:szCs w:val="20"/>
        </w:rPr>
        <w:t>th</w:t>
      </w:r>
      <w:proofErr w:type="spellEnd"/>
      <w:r>
        <w:rPr>
          <w:rFonts w:eastAsia="微软雅黑"/>
          <w:i/>
          <w:iCs/>
          <w:szCs w:val="20"/>
        </w:rPr>
        <w:t xml:space="preserve"> subband, the corresponding phase offset is</w:t>
      </w:r>
    </w:p>
    <w:p w:rsidR="009B70BD" w:rsidRDefault="00D2139D">
      <w:pPr>
        <w:tabs>
          <w:tab w:val="left" w:pos="420"/>
        </w:tabs>
        <w:snapToGrid w:val="0"/>
        <w:spacing w:beforeLines="50" w:before="120" w:afterLines="50" w:after="120" w:line="300" w:lineRule="auto"/>
        <w:rPr>
          <w:rFonts w:eastAsia="微软雅黑"/>
          <w:i/>
          <w:iCs/>
          <w:szCs w:val="20"/>
        </w:rPr>
      </w:pPr>
      <m:oMathPara>
        <m:oMath>
          <m:d>
            <m:dPr>
              <m:begChr m:val="{"/>
              <m:endChr m:val=""/>
              <m:ctrlPr>
                <w:rPr>
                  <w:rFonts w:ascii="Cambria Math" w:eastAsia="微软雅黑" w:hAnsi="Cambria Math"/>
                  <w:iCs/>
                  <w:szCs w:val="20"/>
                </w:rPr>
              </m:ctrlPr>
            </m:dPr>
            <m:e>
              <m:eqArr>
                <m:eqArrPr>
                  <m:ctrlPr>
                    <w:rPr>
                      <w:rFonts w:ascii="Cambria Math" w:eastAsia="微软雅黑" w:hAnsi="Cambria Math"/>
                      <w:i/>
                      <w:iCs/>
                      <w:szCs w:val="20"/>
                    </w:rPr>
                  </m:ctrlPr>
                </m:eqArrPr>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 m=1</m:t>
                  </m:r>
                </m:e>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m:t>
                  </m:r>
                  <m:d>
                    <m:dPr>
                      <m:ctrlPr>
                        <w:rPr>
                          <w:rFonts w:ascii="Cambria Math" w:eastAsia="微软雅黑" w:hAnsi="Cambria Math"/>
                          <w:iCs/>
                          <w:szCs w:val="20"/>
                        </w:rPr>
                      </m:ctrlPr>
                    </m:dPr>
                    <m:e>
                      <m:r>
                        <w:rPr>
                          <w:rFonts w:ascii="Cambria Math" w:eastAsia="微软雅黑" w:hAnsi="Cambria Math"/>
                          <w:szCs w:val="20"/>
                        </w:rPr>
                        <m:t>m-1</m:t>
                      </m:r>
                    </m:e>
                  </m:d>
                  <m:r>
                    <m:rPr>
                      <m:sty m:val="p"/>
                    </m:rPr>
                    <w:rPr>
                      <w:rFonts w:ascii="Cambria Math" w:eastAsia="微软雅黑" w:hAnsi="Cambria Math"/>
                      <w:szCs w:val="20"/>
                    </w:rPr>
                    <m:t>∙</m:t>
                  </m:r>
                  <m:sSub>
                    <m:sSubPr>
                      <m:ctrlPr>
                        <w:rPr>
                          <w:rFonts w:ascii="Cambria Math" w:eastAsia="微软雅黑" w:hAnsi="Cambria Math"/>
                          <w:iCs/>
                          <w:szCs w:val="20"/>
                        </w:rPr>
                      </m:ctrlPr>
                    </m:sSubPr>
                    <m:e>
                      <m:r>
                        <m:rPr>
                          <m:sty m:val="p"/>
                        </m:rPr>
                        <w:rPr>
                          <w:rFonts w:ascii="Cambria Math" w:eastAsia="微软雅黑" w:hAnsi="Cambria Math"/>
                          <w:szCs w:val="20"/>
                        </w:rPr>
                        <m:t>ΔΦ</m:t>
                      </m:r>
                    </m:e>
                    <m:sub>
                      <m:r>
                        <w:rPr>
                          <w:rFonts w:ascii="Cambria Math" w:eastAsia="微软雅黑" w:hAnsi="Cambria Math"/>
                          <w:szCs w:val="20"/>
                        </w:rPr>
                        <m:t>n</m:t>
                      </m:r>
                    </m:sub>
                  </m:sSub>
                  <m:r>
                    <w:rPr>
                      <w:rFonts w:ascii="Cambria Math" w:eastAsia="微软雅黑" w:hAnsi="Cambria Math"/>
                      <w:szCs w:val="20"/>
                    </w:rPr>
                    <m:t>, m&gt;1</m:t>
                  </m:r>
                </m:e>
              </m:eqArr>
            </m:e>
          </m:d>
        </m:oMath>
      </m:oMathPara>
    </w:p>
    <w:p w:rsidR="009B70BD" w:rsidRDefault="0051047F">
      <w:pPr>
        <w:numPr>
          <w:ilvl w:val="1"/>
          <w:numId w:val="8"/>
        </w:numPr>
        <w:snapToGrid w:val="0"/>
        <w:spacing w:afterLines="50" w:after="120" w:line="25" w:lineRule="atLeast"/>
        <w:outlineLvl w:val="1"/>
        <w:rPr>
          <w:b/>
          <w:sz w:val="24"/>
          <w:szCs w:val="20"/>
        </w:rPr>
      </w:pPr>
      <w:r>
        <w:rPr>
          <w:b/>
          <w:sz w:val="24"/>
          <w:szCs w:val="20"/>
        </w:rPr>
        <w:t>Multiplexing among the report quantities</w:t>
      </w:r>
    </w:p>
    <w:p w:rsidR="009B70BD" w:rsidRDefault="0051047F">
      <w:pPr>
        <w:tabs>
          <w:tab w:val="left" w:pos="432"/>
        </w:tabs>
        <w:snapToGrid w:val="0"/>
        <w:spacing w:beforeLines="50" w:before="120" w:afterLines="50" w:after="120" w:line="300" w:lineRule="auto"/>
        <w:rPr>
          <w:rFonts w:eastAsia="微软雅黑"/>
          <w:iCs/>
          <w:szCs w:val="20"/>
        </w:rPr>
      </w:pPr>
      <w:r>
        <w:rPr>
          <w:rFonts w:eastAsia="微软雅黑" w:hint="eastAsia"/>
          <w:iCs/>
          <w:szCs w:val="20"/>
        </w:rPr>
        <w:t>I</w:t>
      </w:r>
      <w:r>
        <w:rPr>
          <w:rFonts w:eastAsia="微软雅黑"/>
          <w:iCs/>
          <w:szCs w:val="20"/>
        </w:rPr>
        <w:t>n some cases, the inter-TRP delay/frequency/phase information can be multiplexed together in the report. A basic rule for multiplexing the quantities is that, the information that may be used in a same mode (FDD or TDD) can be multiplexed together.</w:t>
      </w:r>
    </w:p>
    <w:p w:rsidR="009B70BD" w:rsidRDefault="0051047F">
      <w:pPr>
        <w:tabs>
          <w:tab w:val="left" w:pos="432"/>
        </w:tabs>
        <w:snapToGrid w:val="0"/>
        <w:spacing w:beforeLines="50" w:before="120" w:afterLines="50" w:after="120" w:line="300" w:lineRule="auto"/>
        <w:rPr>
          <w:rFonts w:eastAsia="微软雅黑"/>
          <w:iCs/>
          <w:szCs w:val="20"/>
        </w:rPr>
      </w:pPr>
      <w:r>
        <w:rPr>
          <w:rFonts w:eastAsia="微软雅黑" w:hint="eastAsia"/>
          <w:iCs/>
          <w:szCs w:val="20"/>
        </w:rPr>
        <w:t>I</w:t>
      </w:r>
      <w:r>
        <w:rPr>
          <w:rFonts w:eastAsia="微软雅黑"/>
          <w:iCs/>
          <w:szCs w:val="20"/>
        </w:rPr>
        <w:t xml:space="preserve">t is worth pointing out that, although inter-TRP phase reporting is proposed to calibrate the reciprocity in TDD, it can also be used in FDD to facilitate CJT. In Rel 18, CSI refinement for CJT is supported. However, due to the implementation complexity, the CJT codebook may not be commercially used in a short time. Then for the UEs that only support Rel-15 Type-I or Rel-16 </w:t>
      </w:r>
      <w:proofErr w:type="spellStart"/>
      <w:r>
        <w:rPr>
          <w:rFonts w:eastAsia="微软雅黑"/>
          <w:iCs/>
          <w:szCs w:val="20"/>
        </w:rPr>
        <w:t>eType</w:t>
      </w:r>
      <w:proofErr w:type="spellEnd"/>
      <w:r>
        <w:rPr>
          <w:rFonts w:eastAsia="微软雅黑"/>
          <w:iCs/>
          <w:szCs w:val="20"/>
        </w:rPr>
        <w:t xml:space="preserve">-II codebooks, they can report a PMI and a phase offset for each TRP. Although there could be some performance degradation, the CJT precoding can be performed based on the reported PMIs and phase offsets. </w:t>
      </w:r>
    </w:p>
    <w:p w:rsidR="009B70BD" w:rsidRDefault="0051047F">
      <w:pPr>
        <w:tabs>
          <w:tab w:val="left" w:pos="432"/>
        </w:tabs>
        <w:snapToGrid w:val="0"/>
        <w:spacing w:beforeLines="50" w:before="120" w:afterLines="50" w:after="120" w:line="300" w:lineRule="auto"/>
        <w:rPr>
          <w:rFonts w:eastAsia="微软雅黑"/>
          <w:iCs/>
          <w:szCs w:val="20"/>
        </w:rPr>
      </w:pPr>
      <w:r>
        <w:rPr>
          <w:rFonts w:eastAsia="微软雅黑"/>
          <w:iCs/>
          <w:szCs w:val="20"/>
        </w:rPr>
        <w:t xml:space="preserve">Based on above analysis, all the inter-TRP delay/frequency/phase information can be used in FDD mode, and only the inter-TRP phase information can be used in TDD mode. Hence, at least the following report quantities should be supported for Rel-19 CJT calibration reporting: </w:t>
      </w:r>
    </w:p>
    <w:p w:rsidR="009B70BD" w:rsidRDefault="0051047F">
      <w:pPr>
        <w:numPr>
          <w:ilvl w:val="0"/>
          <w:numId w:val="19"/>
        </w:numPr>
        <w:snapToGrid w:val="0"/>
        <w:spacing w:beforeLines="50" w:before="120" w:afterLines="50" w:after="120" w:line="300" w:lineRule="auto"/>
        <w:rPr>
          <w:rFonts w:eastAsia="微软雅黑"/>
          <w:iCs/>
          <w:szCs w:val="20"/>
        </w:rPr>
      </w:pPr>
      <w:r>
        <w:rPr>
          <w:rFonts w:eastAsia="微软雅黑"/>
          <w:iCs/>
          <w:szCs w:val="20"/>
        </w:rPr>
        <w:t>“Inter-TRP delay information only”,</w:t>
      </w:r>
    </w:p>
    <w:p w:rsidR="009B70BD" w:rsidRDefault="0051047F">
      <w:pPr>
        <w:numPr>
          <w:ilvl w:val="0"/>
          <w:numId w:val="19"/>
        </w:numPr>
        <w:snapToGrid w:val="0"/>
        <w:spacing w:beforeLines="50" w:before="120" w:afterLines="50" w:after="120" w:line="300" w:lineRule="auto"/>
        <w:rPr>
          <w:rFonts w:eastAsia="微软雅黑"/>
          <w:iCs/>
          <w:szCs w:val="20"/>
        </w:rPr>
      </w:pPr>
      <w:r>
        <w:rPr>
          <w:rFonts w:eastAsia="微软雅黑"/>
          <w:iCs/>
          <w:szCs w:val="20"/>
        </w:rPr>
        <w:t>“Inter-TRP frequency information”,</w:t>
      </w:r>
    </w:p>
    <w:p w:rsidR="009B70BD" w:rsidRDefault="0051047F">
      <w:pPr>
        <w:numPr>
          <w:ilvl w:val="0"/>
          <w:numId w:val="19"/>
        </w:numPr>
        <w:snapToGrid w:val="0"/>
        <w:spacing w:beforeLines="50" w:before="120" w:afterLines="50" w:after="120" w:line="300" w:lineRule="auto"/>
        <w:rPr>
          <w:rFonts w:eastAsia="微软雅黑"/>
          <w:iCs/>
          <w:szCs w:val="20"/>
        </w:rPr>
      </w:pPr>
      <w:r>
        <w:rPr>
          <w:rFonts w:eastAsia="微软雅黑"/>
          <w:iCs/>
          <w:szCs w:val="20"/>
        </w:rPr>
        <w:t>“Inter-TRP phase information”,</w:t>
      </w:r>
    </w:p>
    <w:p w:rsidR="009B70BD" w:rsidRDefault="0051047F">
      <w:pPr>
        <w:numPr>
          <w:ilvl w:val="0"/>
          <w:numId w:val="19"/>
        </w:numPr>
        <w:snapToGrid w:val="0"/>
        <w:spacing w:beforeLines="50" w:before="120" w:afterLines="50" w:after="120" w:line="300" w:lineRule="auto"/>
        <w:rPr>
          <w:rFonts w:eastAsia="微软雅黑"/>
          <w:iCs/>
          <w:szCs w:val="20"/>
        </w:rPr>
      </w:pPr>
      <w:r>
        <w:rPr>
          <w:rFonts w:eastAsia="微软雅黑"/>
          <w:iCs/>
          <w:szCs w:val="20"/>
        </w:rPr>
        <w:t>“Inter-TRP delay information and phase information”,</w:t>
      </w:r>
    </w:p>
    <w:p w:rsidR="009B70BD" w:rsidRDefault="0051047F">
      <w:pPr>
        <w:numPr>
          <w:ilvl w:val="0"/>
          <w:numId w:val="19"/>
        </w:numPr>
        <w:snapToGrid w:val="0"/>
        <w:spacing w:beforeLines="50" w:before="120" w:afterLines="50" w:after="120" w:line="300" w:lineRule="auto"/>
        <w:rPr>
          <w:rFonts w:eastAsia="微软雅黑"/>
          <w:iCs/>
          <w:szCs w:val="20"/>
        </w:rPr>
      </w:pPr>
      <w:r>
        <w:rPr>
          <w:rFonts w:eastAsia="微软雅黑"/>
          <w:iCs/>
          <w:szCs w:val="20"/>
        </w:rPr>
        <w:t>“Inter-TRP delay information and frequency information”, and</w:t>
      </w:r>
    </w:p>
    <w:p w:rsidR="009B70BD" w:rsidRDefault="0051047F">
      <w:pPr>
        <w:numPr>
          <w:ilvl w:val="0"/>
          <w:numId w:val="19"/>
        </w:numPr>
        <w:snapToGrid w:val="0"/>
        <w:spacing w:beforeLines="50" w:before="120" w:afterLines="50" w:after="120" w:line="300" w:lineRule="auto"/>
        <w:rPr>
          <w:rFonts w:eastAsia="微软雅黑"/>
          <w:iCs/>
          <w:szCs w:val="20"/>
        </w:rPr>
      </w:pPr>
      <w:r>
        <w:rPr>
          <w:rFonts w:eastAsia="微软雅黑"/>
          <w:iCs/>
          <w:szCs w:val="20"/>
        </w:rPr>
        <w:t>“Inter-TRP delay information and frequency information and phase information”.</w:t>
      </w:r>
    </w:p>
    <w:p w:rsidR="009B70BD" w:rsidRDefault="0051047F">
      <w:pPr>
        <w:rPr>
          <w:i/>
          <w:iCs/>
        </w:rPr>
      </w:pPr>
      <w:r>
        <w:rPr>
          <w:rFonts w:hint="eastAsia"/>
          <w:b/>
          <w:bCs/>
          <w:i/>
          <w:iCs/>
        </w:rPr>
        <w:lastRenderedPageBreak/>
        <w:t xml:space="preserve">Proposal </w:t>
      </w:r>
      <w:r w:rsidR="00D46CEA">
        <w:rPr>
          <w:b/>
          <w:bCs/>
          <w:i/>
          <w:iCs/>
        </w:rPr>
        <w:t>30</w:t>
      </w:r>
      <w:r>
        <w:rPr>
          <w:rFonts w:hint="eastAsia"/>
          <w:b/>
          <w:bCs/>
          <w:i/>
          <w:iCs/>
        </w:rPr>
        <w:t>:</w:t>
      </w:r>
      <w:r>
        <w:rPr>
          <w:rFonts w:hint="eastAsia"/>
          <w:i/>
          <w:iCs/>
        </w:rPr>
        <w:t xml:space="preserve"> </w:t>
      </w:r>
      <w:r>
        <w:rPr>
          <w:rFonts w:eastAsia="微软雅黑"/>
          <w:i/>
          <w:szCs w:val="20"/>
        </w:rPr>
        <w:t>Regarding Rel-19 CJT calibration reporting,</w:t>
      </w:r>
      <w:r>
        <w:rPr>
          <w:rFonts w:hint="eastAsia"/>
          <w:i/>
          <w:iCs/>
        </w:rPr>
        <w:t xml:space="preserve"> </w:t>
      </w:r>
      <w:r>
        <w:rPr>
          <w:i/>
          <w:iCs/>
        </w:rPr>
        <w:t xml:space="preserve">support at least </w:t>
      </w:r>
      <w:r>
        <w:rPr>
          <w:rFonts w:hint="eastAsia"/>
          <w:i/>
          <w:iCs/>
        </w:rPr>
        <w:t>the followings</w:t>
      </w:r>
      <w:r>
        <w:rPr>
          <w:i/>
          <w:iCs/>
        </w:rPr>
        <w:t xml:space="preserve"> report quantities</w:t>
      </w:r>
      <w:r>
        <w:rPr>
          <w:rFonts w:hint="eastAsia"/>
          <w:i/>
          <w:iCs/>
        </w:rPr>
        <w:t>:</w:t>
      </w:r>
    </w:p>
    <w:p w:rsidR="009B70BD" w:rsidRDefault="0051047F">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delay information only”,</w:t>
      </w:r>
    </w:p>
    <w:p w:rsidR="009B70BD" w:rsidRDefault="0051047F">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frequency information”,</w:t>
      </w:r>
    </w:p>
    <w:p w:rsidR="009B70BD" w:rsidRDefault="0051047F">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phase information”,</w:t>
      </w:r>
    </w:p>
    <w:p w:rsidR="009B70BD" w:rsidRDefault="0051047F">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delay information and phase information”,</w:t>
      </w:r>
    </w:p>
    <w:p w:rsidR="009B70BD" w:rsidRDefault="0051047F">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delay information and frequency information”, and</w:t>
      </w:r>
    </w:p>
    <w:p w:rsidR="009B70BD" w:rsidRDefault="0051047F">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delay information and frequency information and phase information”.</w:t>
      </w:r>
    </w:p>
    <w:p w:rsidR="009B70BD" w:rsidRDefault="0051047F">
      <w:pPr>
        <w:numPr>
          <w:ilvl w:val="1"/>
          <w:numId w:val="8"/>
        </w:numPr>
        <w:snapToGrid w:val="0"/>
        <w:spacing w:afterLines="50" w:after="120" w:line="25" w:lineRule="atLeast"/>
        <w:outlineLvl w:val="1"/>
        <w:rPr>
          <w:b/>
          <w:sz w:val="24"/>
          <w:szCs w:val="20"/>
        </w:rPr>
      </w:pPr>
      <w:r>
        <w:rPr>
          <w:rFonts w:hint="eastAsia"/>
          <w:b/>
          <w:sz w:val="24"/>
          <w:szCs w:val="20"/>
        </w:rPr>
        <w:t>O</w:t>
      </w:r>
      <w:r>
        <w:rPr>
          <w:b/>
          <w:sz w:val="24"/>
          <w:szCs w:val="20"/>
        </w:rPr>
        <w:t>ther potential necessary enhancements</w:t>
      </w:r>
    </w:p>
    <w:p w:rsidR="009B70BD" w:rsidRDefault="0051047F">
      <w:pPr>
        <w:tabs>
          <w:tab w:val="left" w:pos="432"/>
          <w:tab w:val="left" w:pos="576"/>
        </w:tabs>
        <w:snapToGrid w:val="0"/>
        <w:spacing w:afterLines="50" w:after="120" w:line="25" w:lineRule="atLeast"/>
        <w:outlineLvl w:val="2"/>
        <w:rPr>
          <w:b/>
          <w:bCs/>
          <w:sz w:val="21"/>
          <w:szCs w:val="21"/>
        </w:rPr>
      </w:pPr>
      <w:r>
        <w:rPr>
          <w:b/>
          <w:bCs/>
          <w:sz w:val="21"/>
          <w:szCs w:val="21"/>
        </w:rPr>
        <w:t>3.6.1 CSI-RS resource refinement</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szCs w:val="20"/>
        </w:rPr>
        <w:t>I</w:t>
      </w:r>
      <w:r>
        <w:rPr>
          <w:rFonts w:eastAsia="微软雅黑" w:hint="eastAsia"/>
          <w:szCs w:val="20"/>
        </w:rPr>
        <w:t xml:space="preserve">n Rel-18 CSI refinement to support CJT, the inter-TRP co-phasing is introduced to eliminate the delay differences across different TRPs. The co-phasing adds a linear varying phase across different CSI subband. Within each CSI subband, the added phase remains unchanged. However, in non-ideal synchronization and </w:t>
      </w:r>
      <w:r>
        <w:rPr>
          <w:rFonts w:eastAsia="微软雅黑"/>
          <w:szCs w:val="20"/>
        </w:rPr>
        <w:t>backhaul</w:t>
      </w:r>
      <w:r>
        <w:rPr>
          <w:rFonts w:eastAsia="微软雅黑" w:hint="eastAsia"/>
          <w:szCs w:val="20"/>
        </w:rPr>
        <w:t xml:space="preserve"> scenarios, such co-phasing with the granularity of a CSI subband is not sufficient to address the strong frequency selectivity of the channel caused by the inter-TRP </w:t>
      </w:r>
      <w:r>
        <w:rPr>
          <w:rFonts w:eastAsia="微软雅黑"/>
          <w:szCs w:val="20"/>
        </w:rPr>
        <w:t>delay</w:t>
      </w:r>
      <w:r>
        <w:rPr>
          <w:rFonts w:eastAsia="微软雅黑" w:hint="eastAsia"/>
          <w:szCs w:val="20"/>
        </w:rPr>
        <w:t xml:space="preserve"> misalignment. </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szCs w:val="20"/>
        </w:rPr>
        <w:t>In Rel 19, after introducing the inter-TRP delay misalignment reporting, most of the channel frequency selectivity would be addressed by the delay misalignment pre-compensation at TRP sides during PDSCH transmission. The residual channel frequency selectivity would be handled by the inter-TRP co-phasing in CJT CSI reporting. Then f</w:t>
      </w:r>
      <w:r>
        <w:rPr>
          <w:rFonts w:eastAsia="微软雅黑" w:hint="eastAsia"/>
          <w:szCs w:val="20"/>
        </w:rPr>
        <w:t xml:space="preserve">or more accurate CSI feedback, the CJT PMI/CQI should be calculated under the hypothesis that the inter-TRP delay misalignment </w:t>
      </w:r>
      <w:r>
        <w:rPr>
          <w:rFonts w:eastAsia="微软雅黑"/>
          <w:szCs w:val="20"/>
        </w:rPr>
        <w:t>would be</w:t>
      </w:r>
      <w:r>
        <w:rPr>
          <w:rFonts w:eastAsia="微软雅黑" w:hint="eastAsia"/>
          <w:szCs w:val="20"/>
        </w:rPr>
        <w:t xml:space="preserve"> pre-compensated for PDSCH </w:t>
      </w:r>
      <w:r>
        <w:rPr>
          <w:rFonts w:eastAsia="微软雅黑"/>
          <w:szCs w:val="20"/>
        </w:rPr>
        <w:t>transmission</w:t>
      </w:r>
      <w:r>
        <w:rPr>
          <w:rFonts w:eastAsia="微软雅黑" w:hint="eastAsia"/>
          <w:szCs w:val="20"/>
        </w:rPr>
        <w:t xml:space="preserve">. </w:t>
      </w:r>
      <w:r>
        <w:rPr>
          <w:rFonts w:eastAsia="微软雅黑"/>
          <w:szCs w:val="20"/>
        </w:rPr>
        <w:t>One possibility to achieve this goal is that, the TRPs pre-compensate the delay misalignment based on the UE-reported information when transmitting the DL CSI-RS. However, the CSI-RS will become UE-specific, and it would greatly increase the CSI-RS resource overhead. In real deployment, such huge CSI-RS overhead is unacceptable.</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hint="eastAsia"/>
          <w:szCs w:val="20"/>
        </w:rPr>
        <w:t>T</w:t>
      </w:r>
      <w:r>
        <w:rPr>
          <w:rFonts w:eastAsia="微软雅黑"/>
          <w:szCs w:val="20"/>
        </w:rPr>
        <w:t xml:space="preserve">o avoid such issue, the TRPs should transmit normal cell-specific DL CSI-RS. But the NW can add the delay misalignment information, which is measured and reported by the UE, into the CSI-RS resource configuration. </w:t>
      </w:r>
      <w:r>
        <w:rPr>
          <w:rFonts w:eastAsia="微软雅黑" w:hint="eastAsia"/>
          <w:szCs w:val="20"/>
        </w:rPr>
        <w:t xml:space="preserve">Upon receiving the </w:t>
      </w:r>
      <w:r>
        <w:rPr>
          <w:rFonts w:eastAsia="微软雅黑"/>
          <w:szCs w:val="20"/>
        </w:rPr>
        <w:t>CSI-RS</w:t>
      </w:r>
      <w:r>
        <w:rPr>
          <w:rFonts w:eastAsia="微软雅黑" w:hint="eastAsia"/>
          <w:szCs w:val="20"/>
        </w:rPr>
        <w:t xml:space="preserve">, the UE can calculate </w:t>
      </w:r>
      <w:r>
        <w:rPr>
          <w:rFonts w:eastAsia="微软雅黑"/>
          <w:szCs w:val="20"/>
        </w:rPr>
        <w:t>more accurate</w:t>
      </w:r>
      <w:r>
        <w:rPr>
          <w:rFonts w:eastAsia="微软雅黑" w:hint="eastAsia"/>
          <w:szCs w:val="20"/>
        </w:rPr>
        <w:t xml:space="preserve"> CJT PMI/CQI assuming that the </w:t>
      </w:r>
      <w:r>
        <w:rPr>
          <w:rFonts w:eastAsia="微软雅黑"/>
          <w:szCs w:val="20"/>
        </w:rPr>
        <w:t>added</w:t>
      </w:r>
      <w:r>
        <w:rPr>
          <w:rFonts w:eastAsia="微软雅黑" w:hint="eastAsia"/>
          <w:szCs w:val="20"/>
        </w:rPr>
        <w:t xml:space="preserve"> inter-TRP delay misalignment information will be utilized</w:t>
      </w:r>
      <w:r>
        <w:rPr>
          <w:rFonts w:eastAsia="微软雅黑"/>
          <w:szCs w:val="20"/>
        </w:rPr>
        <w:t xml:space="preserve"> for</w:t>
      </w:r>
      <w:r>
        <w:rPr>
          <w:rFonts w:eastAsia="微软雅黑" w:hint="eastAsia"/>
          <w:szCs w:val="20"/>
        </w:rPr>
        <w:t xml:space="preserve"> pre-compensation</w:t>
      </w:r>
      <w:r>
        <w:rPr>
          <w:rFonts w:eastAsia="微软雅黑"/>
          <w:szCs w:val="20"/>
        </w:rPr>
        <w:t xml:space="preserve"> in PDSCH reception</w:t>
      </w:r>
      <w:r>
        <w:rPr>
          <w:rFonts w:eastAsia="微软雅黑" w:hint="eastAsia"/>
          <w:szCs w:val="20"/>
        </w:rPr>
        <w:t>.</w:t>
      </w:r>
    </w:p>
    <w:p w:rsidR="009B70BD" w:rsidRDefault="0051047F">
      <w:pPr>
        <w:spacing w:after="120"/>
        <w:rPr>
          <w:i/>
          <w:iCs/>
        </w:rPr>
      </w:pPr>
      <w:r>
        <w:rPr>
          <w:rFonts w:hint="eastAsia"/>
          <w:b/>
          <w:bCs/>
          <w:i/>
          <w:iCs/>
        </w:rPr>
        <w:t xml:space="preserve">Proposal </w:t>
      </w:r>
      <w:r w:rsidR="00D46CEA">
        <w:rPr>
          <w:b/>
          <w:bCs/>
          <w:i/>
          <w:iCs/>
        </w:rPr>
        <w:t>31</w:t>
      </w:r>
      <w:r>
        <w:rPr>
          <w:rFonts w:hint="eastAsia"/>
          <w:b/>
          <w:bCs/>
          <w:i/>
          <w:iCs/>
        </w:rPr>
        <w:t xml:space="preserve">: </w:t>
      </w:r>
      <w:r>
        <w:rPr>
          <w:rFonts w:eastAsia="微软雅黑"/>
          <w:i/>
          <w:szCs w:val="20"/>
        </w:rPr>
        <w:t>Regarding Rel-19 CJT calibration reporting, support refining CSI-RS configuration for CJT-CSI by introducing a new RRC ‘delay-pre-compensation parameter’ per CSI-RS resource.</w:t>
      </w:r>
    </w:p>
    <w:p w:rsidR="009B70BD" w:rsidRDefault="0051047F">
      <w:pPr>
        <w:numPr>
          <w:ilvl w:val="0"/>
          <w:numId w:val="19"/>
        </w:numPr>
        <w:snapToGrid w:val="0"/>
        <w:spacing w:beforeLines="50" w:before="120" w:afterLines="50" w:after="120" w:line="300" w:lineRule="auto"/>
        <w:rPr>
          <w:b/>
          <w:bCs/>
          <w:sz w:val="21"/>
          <w:szCs w:val="21"/>
        </w:rPr>
      </w:pPr>
      <w:r>
        <w:rPr>
          <w:rFonts w:eastAsia="微软雅黑"/>
          <w:i/>
          <w:iCs/>
          <w:szCs w:val="20"/>
        </w:rPr>
        <w:t>The</w:t>
      </w:r>
      <w:r>
        <w:rPr>
          <w:rFonts w:eastAsia="微软雅黑" w:hint="eastAsia"/>
          <w:i/>
          <w:iCs/>
          <w:szCs w:val="20"/>
        </w:rPr>
        <w:t xml:space="preserve"> UE </w:t>
      </w:r>
      <w:r>
        <w:rPr>
          <w:rFonts w:eastAsia="微软雅黑"/>
          <w:i/>
          <w:iCs/>
          <w:szCs w:val="20"/>
        </w:rPr>
        <w:t>calculates the</w:t>
      </w:r>
      <w:r>
        <w:rPr>
          <w:rFonts w:eastAsia="微软雅黑" w:hint="eastAsia"/>
          <w:i/>
          <w:iCs/>
          <w:szCs w:val="20"/>
        </w:rPr>
        <w:t xml:space="preserve"> CJT </w:t>
      </w:r>
      <w:r>
        <w:rPr>
          <w:rFonts w:eastAsia="微软雅黑" w:hint="eastAsia"/>
          <w:i/>
          <w:szCs w:val="20"/>
        </w:rPr>
        <w:t>CSI</w:t>
      </w:r>
      <w:r>
        <w:rPr>
          <w:rFonts w:eastAsia="微软雅黑" w:hint="eastAsia"/>
          <w:i/>
          <w:iCs/>
          <w:szCs w:val="20"/>
        </w:rPr>
        <w:t xml:space="preserve">/CQI through </w:t>
      </w:r>
      <w:r>
        <w:rPr>
          <w:rFonts w:eastAsia="微软雅黑"/>
          <w:i/>
          <w:iCs/>
          <w:szCs w:val="20"/>
        </w:rPr>
        <w:t>the normal CSI-RS(s)</w:t>
      </w:r>
      <w:r>
        <w:rPr>
          <w:rFonts w:eastAsia="微软雅黑" w:hint="eastAsia"/>
          <w:i/>
          <w:iCs/>
          <w:szCs w:val="20"/>
        </w:rPr>
        <w:t>, but assuming</w:t>
      </w:r>
      <w:r>
        <w:rPr>
          <w:rFonts w:eastAsia="微软雅黑"/>
          <w:i/>
          <w:iCs/>
          <w:szCs w:val="20"/>
        </w:rPr>
        <w:t xml:space="preserve"> that</w:t>
      </w:r>
      <w:r>
        <w:rPr>
          <w:rFonts w:eastAsia="微软雅黑" w:hint="eastAsia"/>
          <w:i/>
          <w:iCs/>
          <w:szCs w:val="20"/>
        </w:rPr>
        <w:t xml:space="preserve"> </w:t>
      </w:r>
      <w:r>
        <w:rPr>
          <w:rFonts w:eastAsia="微软雅黑"/>
          <w:i/>
          <w:iCs/>
          <w:szCs w:val="20"/>
        </w:rPr>
        <w:t xml:space="preserve">the </w:t>
      </w:r>
      <w:r>
        <w:rPr>
          <w:rFonts w:eastAsia="微软雅黑"/>
          <w:i/>
          <w:szCs w:val="20"/>
        </w:rPr>
        <w:t xml:space="preserve">delay-pre-compensation parameter is </w:t>
      </w:r>
      <w:r>
        <w:rPr>
          <w:rFonts w:eastAsia="微软雅黑"/>
          <w:i/>
          <w:iCs/>
          <w:szCs w:val="20"/>
        </w:rPr>
        <w:t>used for pre-compensation in PDSCH reception</w:t>
      </w:r>
      <w:r>
        <w:rPr>
          <w:rFonts w:eastAsia="微软雅黑" w:hint="eastAsia"/>
          <w:i/>
          <w:iCs/>
          <w:szCs w:val="20"/>
        </w:rPr>
        <w:t>.</w:t>
      </w:r>
    </w:p>
    <w:p w:rsidR="009B70BD" w:rsidRDefault="0051047F">
      <w:pPr>
        <w:numPr>
          <w:ilvl w:val="0"/>
          <w:numId w:val="19"/>
        </w:numPr>
        <w:tabs>
          <w:tab w:val="clear" w:pos="420"/>
        </w:tabs>
        <w:snapToGrid w:val="0"/>
        <w:spacing w:beforeLines="50" w:before="120" w:afterLines="50" w:after="120" w:line="300" w:lineRule="auto"/>
        <w:rPr>
          <w:rFonts w:eastAsia="微软雅黑"/>
          <w:i/>
          <w:iCs/>
          <w:szCs w:val="20"/>
        </w:rPr>
      </w:pPr>
      <w:r>
        <w:rPr>
          <w:rFonts w:eastAsia="微软雅黑"/>
          <w:i/>
          <w:iCs/>
          <w:szCs w:val="20"/>
        </w:rPr>
        <w:t>Note: The TRPs transmit normal cell-specific CSI-RS without delay misalignment pre-compensation.</w:t>
      </w:r>
    </w:p>
    <w:p w:rsidR="009B70BD" w:rsidRDefault="0051047F">
      <w:pPr>
        <w:tabs>
          <w:tab w:val="left" w:pos="432"/>
          <w:tab w:val="left" w:pos="576"/>
        </w:tabs>
        <w:snapToGrid w:val="0"/>
        <w:spacing w:afterLines="50" w:after="120" w:line="25" w:lineRule="atLeast"/>
        <w:outlineLvl w:val="2"/>
        <w:rPr>
          <w:b/>
          <w:bCs/>
          <w:sz w:val="21"/>
          <w:szCs w:val="21"/>
        </w:rPr>
      </w:pPr>
      <w:r>
        <w:rPr>
          <w:b/>
          <w:bCs/>
          <w:sz w:val="21"/>
          <w:szCs w:val="21"/>
        </w:rPr>
        <w:t>3.6.2 New QCL assumption for CJT pre-compensation</w:t>
      </w:r>
    </w:p>
    <w:p w:rsidR="009B70BD" w:rsidRDefault="0051047F">
      <w:pPr>
        <w:tabs>
          <w:tab w:val="left" w:pos="420"/>
        </w:tabs>
        <w:snapToGrid w:val="0"/>
        <w:spacing w:beforeLines="50" w:before="120" w:afterLines="50" w:after="120" w:line="300" w:lineRule="auto"/>
        <w:rPr>
          <w:rFonts w:eastAsia="微软雅黑"/>
          <w:szCs w:val="20"/>
        </w:rPr>
      </w:pPr>
      <w:r>
        <w:rPr>
          <w:rFonts w:eastAsia="微软雅黑"/>
          <w:szCs w:val="20"/>
        </w:rPr>
        <w:t>In</w:t>
      </w:r>
      <w:r>
        <w:rPr>
          <w:rFonts w:eastAsia="微软雅黑" w:hint="eastAsia"/>
          <w:szCs w:val="20"/>
        </w:rPr>
        <w:t xml:space="preserve"> CJT, to ensure that the UE can receive the PDSCH with correct QCL information, the pre-compensation of </w:t>
      </w:r>
      <w:r w:rsidR="0024457F">
        <w:rPr>
          <w:rFonts w:eastAsia="微软雅黑"/>
          <w:szCs w:val="20"/>
        </w:rPr>
        <w:t>delay</w:t>
      </w:r>
      <w:r>
        <w:rPr>
          <w:rFonts w:eastAsia="微软雅黑" w:hint="eastAsia"/>
          <w:szCs w:val="20"/>
        </w:rPr>
        <w:t>/frequency misalignment should be reflected in the indicated TCI states.</w:t>
      </w:r>
    </w:p>
    <w:p w:rsidR="009B70BD" w:rsidRDefault="0051047F">
      <w:pPr>
        <w:numPr>
          <w:ilvl w:val="0"/>
          <w:numId w:val="19"/>
        </w:numPr>
        <w:snapToGrid w:val="0"/>
        <w:spacing w:beforeLines="50" w:before="120" w:afterLines="50" w:after="120" w:line="300" w:lineRule="auto"/>
        <w:rPr>
          <w:rFonts w:eastAsia="微软雅黑"/>
          <w:i/>
          <w:iCs/>
          <w:szCs w:val="20"/>
        </w:rPr>
      </w:pPr>
      <w:r>
        <w:rPr>
          <w:rFonts w:eastAsia="微软雅黑" w:hint="eastAsia"/>
          <w:szCs w:val="20"/>
        </w:rPr>
        <w:t xml:space="preserve">To indicate that only the frequency misalignment is pre-compensated, the legacy TCI indication scheme for </w:t>
      </w:r>
      <w:r>
        <w:rPr>
          <w:rFonts w:eastAsia="微软雅黑"/>
          <w:szCs w:val="20"/>
        </w:rPr>
        <w:t>‘</w:t>
      </w:r>
      <w:r>
        <w:rPr>
          <w:rFonts w:eastAsia="微软雅黑" w:hint="eastAsia"/>
          <w:szCs w:val="20"/>
        </w:rPr>
        <w:t>SFN scheme B</w:t>
      </w:r>
      <w:r>
        <w:rPr>
          <w:rFonts w:eastAsia="微软雅黑"/>
          <w:szCs w:val="20"/>
        </w:rPr>
        <w:t>’</w:t>
      </w:r>
      <w:r>
        <w:rPr>
          <w:rFonts w:eastAsia="微软雅黑" w:hint="eastAsia"/>
          <w:szCs w:val="20"/>
        </w:rPr>
        <w:t xml:space="preserve"> can be reused. In other words, two TCI states (QCL-</w:t>
      </w:r>
      <w:proofErr w:type="spellStart"/>
      <w:r>
        <w:rPr>
          <w:rFonts w:eastAsia="微软雅黑" w:hint="eastAsia"/>
          <w:szCs w:val="20"/>
        </w:rPr>
        <w:t>TypeA</w:t>
      </w:r>
      <w:proofErr w:type="spellEnd"/>
      <w:r>
        <w:rPr>
          <w:rFonts w:eastAsia="微软雅黑" w:hint="eastAsia"/>
          <w:szCs w:val="20"/>
        </w:rPr>
        <w:t xml:space="preserve"> + QCL-</w:t>
      </w:r>
      <w:proofErr w:type="spellStart"/>
      <w:r>
        <w:rPr>
          <w:rFonts w:eastAsia="微软雅黑" w:hint="eastAsia"/>
          <w:szCs w:val="20"/>
        </w:rPr>
        <w:t>TypeA</w:t>
      </w:r>
      <w:proofErr w:type="spellEnd"/>
      <w:r>
        <w:rPr>
          <w:rFonts w:eastAsia="微软雅黑" w:hint="eastAsia"/>
          <w:szCs w:val="20"/>
        </w:rPr>
        <w:t xml:space="preserve">) can be indicated, the UE shall assume that the DM-RS port(s) of the PDSCH is quasi co-located with the DL-RSs </w:t>
      </w:r>
      <w:r>
        <w:rPr>
          <w:rFonts w:eastAsia="微软雅黑" w:hint="eastAsia"/>
          <w:szCs w:val="20"/>
        </w:rPr>
        <w:lastRenderedPageBreak/>
        <w:t>of the two TCI states except for quasi co-location parameters {Doppler shift, Doppler spread} of the second indicated TCI state.</w:t>
      </w:r>
    </w:p>
    <w:p w:rsidR="009B70BD" w:rsidRDefault="0051047F">
      <w:pPr>
        <w:numPr>
          <w:ilvl w:val="0"/>
          <w:numId w:val="19"/>
        </w:numPr>
        <w:snapToGrid w:val="0"/>
        <w:spacing w:beforeLines="50" w:before="120" w:afterLines="50" w:after="120" w:line="300" w:lineRule="auto"/>
        <w:rPr>
          <w:rFonts w:eastAsia="微软雅黑"/>
          <w:i/>
          <w:iCs/>
          <w:szCs w:val="20"/>
        </w:rPr>
      </w:pPr>
      <w:r>
        <w:rPr>
          <w:rFonts w:eastAsia="微软雅黑" w:hint="eastAsia"/>
          <w:szCs w:val="20"/>
        </w:rPr>
        <w:t>To indicate that only the delay misalignment is pre-compensated, two TCI states (QCL-</w:t>
      </w:r>
      <w:proofErr w:type="spellStart"/>
      <w:r>
        <w:rPr>
          <w:rFonts w:eastAsia="微软雅黑" w:hint="eastAsia"/>
          <w:szCs w:val="20"/>
        </w:rPr>
        <w:t>TypeA</w:t>
      </w:r>
      <w:proofErr w:type="spellEnd"/>
      <w:r>
        <w:rPr>
          <w:rFonts w:eastAsia="微软雅黑" w:hint="eastAsia"/>
          <w:szCs w:val="20"/>
        </w:rPr>
        <w:t xml:space="preserve"> + QCL-</w:t>
      </w:r>
      <w:proofErr w:type="spellStart"/>
      <w:r>
        <w:rPr>
          <w:rFonts w:eastAsia="微软雅黑" w:hint="eastAsia"/>
          <w:szCs w:val="20"/>
        </w:rPr>
        <w:t>TypeB</w:t>
      </w:r>
      <w:proofErr w:type="spellEnd"/>
      <w:r>
        <w:rPr>
          <w:rFonts w:eastAsia="微软雅黑" w:hint="eastAsia"/>
          <w:szCs w:val="20"/>
        </w:rPr>
        <w:t>) can be indicated, the DM-RS port(s) of the PDSCH is quasi co-located with the DL-RSs of the QCL-</w:t>
      </w:r>
      <w:proofErr w:type="spellStart"/>
      <w:r>
        <w:rPr>
          <w:rFonts w:eastAsia="微软雅黑" w:hint="eastAsia"/>
          <w:szCs w:val="20"/>
        </w:rPr>
        <w:t>TypeA</w:t>
      </w:r>
      <w:proofErr w:type="spellEnd"/>
      <w:r>
        <w:rPr>
          <w:rFonts w:eastAsia="微软雅黑" w:hint="eastAsia"/>
          <w:szCs w:val="20"/>
        </w:rPr>
        <w:t xml:space="preserve"> TCI state for quasi co-location parameters {Doppler shift, Doppler spread, Delay, Delay spread}, and quasi co-located with the DL-RSs of the QCL-</w:t>
      </w:r>
      <w:proofErr w:type="spellStart"/>
      <w:r>
        <w:rPr>
          <w:rFonts w:eastAsia="微软雅黑" w:hint="eastAsia"/>
          <w:szCs w:val="20"/>
        </w:rPr>
        <w:t>TypeB</w:t>
      </w:r>
      <w:proofErr w:type="spellEnd"/>
      <w:r>
        <w:rPr>
          <w:rFonts w:eastAsia="微软雅黑" w:hint="eastAsia"/>
          <w:szCs w:val="20"/>
        </w:rPr>
        <w:t xml:space="preserve"> TCI state for quasi co-location parameters {Doppler shift, Doppler spread}.</w:t>
      </w:r>
    </w:p>
    <w:p w:rsidR="009B70BD" w:rsidRDefault="0051047F">
      <w:pPr>
        <w:tabs>
          <w:tab w:val="left" w:pos="420"/>
        </w:tabs>
        <w:snapToGrid w:val="0"/>
        <w:spacing w:beforeLines="50" w:before="120" w:afterLines="50" w:after="120" w:line="300" w:lineRule="auto"/>
        <w:rPr>
          <w:rFonts w:eastAsia="微软雅黑"/>
          <w:i/>
          <w:iCs/>
          <w:szCs w:val="20"/>
        </w:rPr>
      </w:pPr>
      <w:r>
        <w:rPr>
          <w:rFonts w:eastAsia="微软雅黑"/>
          <w:b/>
          <w:bCs/>
          <w:i/>
          <w:iCs/>
          <w:szCs w:val="20"/>
        </w:rPr>
        <w:t xml:space="preserve">Proposal </w:t>
      </w:r>
      <w:r w:rsidR="00D46CEA">
        <w:rPr>
          <w:rFonts w:eastAsia="微软雅黑"/>
          <w:b/>
          <w:bCs/>
          <w:i/>
          <w:iCs/>
          <w:szCs w:val="20"/>
        </w:rPr>
        <w:t>32</w:t>
      </w:r>
      <w:r>
        <w:rPr>
          <w:rFonts w:eastAsia="微软雅黑"/>
          <w:b/>
          <w:bCs/>
          <w:i/>
          <w:iCs/>
          <w:szCs w:val="20"/>
        </w:rPr>
        <w:t>:</w:t>
      </w:r>
      <w:r>
        <w:rPr>
          <w:rFonts w:eastAsia="微软雅黑"/>
          <w:i/>
          <w:iCs/>
          <w:szCs w:val="20"/>
        </w:rPr>
        <w:t xml:space="preserve"> </w:t>
      </w:r>
      <w:r>
        <w:rPr>
          <w:rFonts w:eastAsia="微软雅黑"/>
          <w:i/>
          <w:szCs w:val="20"/>
        </w:rPr>
        <w:t>Regarding Rel-19 CJT calibration reporting,</w:t>
      </w:r>
      <w:r>
        <w:rPr>
          <w:rFonts w:eastAsia="微软雅黑" w:hint="eastAsia"/>
          <w:i/>
          <w:iCs/>
          <w:szCs w:val="20"/>
        </w:rPr>
        <w:t xml:space="preserve"> support</w:t>
      </w:r>
      <w:r>
        <w:rPr>
          <w:rFonts w:eastAsia="微软雅黑"/>
          <w:i/>
          <w:iCs/>
          <w:szCs w:val="20"/>
        </w:rPr>
        <w:t xml:space="preserve"> indicating two TCI states (QCL-</w:t>
      </w:r>
      <w:proofErr w:type="spellStart"/>
      <w:r>
        <w:rPr>
          <w:rFonts w:eastAsia="微软雅黑"/>
          <w:i/>
          <w:iCs/>
          <w:szCs w:val="20"/>
        </w:rPr>
        <w:t>TypeA</w:t>
      </w:r>
      <w:proofErr w:type="spellEnd"/>
      <w:r>
        <w:rPr>
          <w:rFonts w:eastAsia="微软雅黑"/>
          <w:i/>
          <w:iCs/>
          <w:szCs w:val="20"/>
        </w:rPr>
        <w:t xml:space="preserve"> + QCL-</w:t>
      </w:r>
      <w:proofErr w:type="spellStart"/>
      <w:r>
        <w:rPr>
          <w:rFonts w:eastAsia="微软雅黑"/>
          <w:i/>
          <w:iCs/>
          <w:szCs w:val="20"/>
        </w:rPr>
        <w:t>TypeB</w:t>
      </w:r>
      <w:proofErr w:type="spellEnd"/>
      <w:r>
        <w:rPr>
          <w:rFonts w:eastAsia="微软雅黑"/>
          <w:i/>
          <w:iCs/>
          <w:szCs w:val="20"/>
        </w:rPr>
        <w:t xml:space="preserve">) for PDSCH </w:t>
      </w:r>
      <w:r>
        <w:rPr>
          <w:rFonts w:eastAsia="微软雅黑" w:hint="eastAsia"/>
          <w:i/>
          <w:iCs/>
          <w:szCs w:val="20"/>
        </w:rPr>
        <w:t>reception</w:t>
      </w:r>
      <w:r>
        <w:rPr>
          <w:rFonts w:eastAsia="微软雅黑"/>
          <w:i/>
          <w:iCs/>
          <w:szCs w:val="20"/>
        </w:rPr>
        <w:t>.</w:t>
      </w:r>
    </w:p>
    <w:p w:rsidR="00001FD7" w:rsidRPr="00BC54C3" w:rsidRDefault="0051047F" w:rsidP="00BC54C3">
      <w:pPr>
        <w:numPr>
          <w:ilvl w:val="0"/>
          <w:numId w:val="19"/>
        </w:numPr>
        <w:snapToGrid w:val="0"/>
        <w:spacing w:beforeLines="50" w:before="120" w:afterLines="50" w:after="120" w:line="300" w:lineRule="auto"/>
        <w:rPr>
          <w:i/>
          <w:iCs/>
          <w:color w:val="000000"/>
        </w:rPr>
      </w:pPr>
      <w:r>
        <w:rPr>
          <w:rFonts w:eastAsia="微软雅黑"/>
          <w:i/>
          <w:iCs/>
          <w:szCs w:val="20"/>
        </w:rPr>
        <w:t>Note: I</w:t>
      </w:r>
      <w:r>
        <w:rPr>
          <w:rFonts w:eastAsia="微软雅黑" w:hint="eastAsia"/>
          <w:i/>
          <w:iCs/>
          <w:szCs w:val="20"/>
        </w:rPr>
        <w:t>t implies that the</w:t>
      </w:r>
      <w:r>
        <w:rPr>
          <w:rFonts w:eastAsia="微软雅黑"/>
          <w:i/>
          <w:iCs/>
          <w:szCs w:val="20"/>
        </w:rPr>
        <w:t xml:space="preserve"> delay misalignment</w:t>
      </w:r>
      <w:r>
        <w:rPr>
          <w:rFonts w:eastAsia="微软雅黑" w:hint="eastAsia"/>
          <w:i/>
          <w:iCs/>
          <w:szCs w:val="20"/>
        </w:rPr>
        <w:t xml:space="preserve"> is</w:t>
      </w:r>
      <w:r>
        <w:rPr>
          <w:rFonts w:eastAsia="微软雅黑"/>
          <w:i/>
          <w:iCs/>
          <w:szCs w:val="20"/>
        </w:rPr>
        <w:t xml:space="preserve"> pre-compensat</w:t>
      </w:r>
      <w:r>
        <w:rPr>
          <w:rFonts w:eastAsia="微软雅黑" w:hint="eastAsia"/>
          <w:i/>
          <w:iCs/>
          <w:szCs w:val="20"/>
        </w:rPr>
        <w:t>ed</w:t>
      </w:r>
      <w:r>
        <w:rPr>
          <w:rFonts w:eastAsia="微软雅黑"/>
          <w:i/>
          <w:iCs/>
          <w:szCs w:val="20"/>
        </w:rPr>
        <w:t xml:space="preserve"> for PDSCH </w:t>
      </w:r>
      <w:r>
        <w:rPr>
          <w:rFonts w:eastAsia="微软雅黑" w:hint="eastAsia"/>
          <w:i/>
          <w:iCs/>
          <w:szCs w:val="20"/>
        </w:rPr>
        <w:t>reception</w:t>
      </w:r>
      <w:r>
        <w:rPr>
          <w:rFonts w:eastAsia="微软雅黑"/>
          <w:i/>
          <w:iCs/>
          <w:szCs w:val="20"/>
        </w:rPr>
        <w:t>.</w:t>
      </w:r>
    </w:p>
    <w:p w:rsidR="00001FD7" w:rsidRDefault="00001FD7" w:rsidP="00001FD7">
      <w:pPr>
        <w:keepNext/>
        <w:widowControl w:val="0"/>
        <w:numPr>
          <w:ilvl w:val="0"/>
          <w:numId w:val="8"/>
        </w:numPr>
        <w:tabs>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8"/>
          <w:szCs w:val="28"/>
        </w:rPr>
      </w:pPr>
      <w:r>
        <w:rPr>
          <w:rFonts w:eastAsia="Arial Unicode MS" w:hint="eastAsia"/>
          <w:b/>
          <w:bCs/>
          <w:sz w:val="28"/>
          <w:szCs w:val="28"/>
        </w:rPr>
        <w:t>A</w:t>
      </w:r>
      <w:r>
        <w:rPr>
          <w:rFonts w:eastAsia="Arial Unicode MS"/>
          <w:b/>
          <w:bCs/>
          <w:sz w:val="28"/>
          <w:szCs w:val="28"/>
        </w:rPr>
        <w:t xml:space="preserve">dvanced enhancements on </w:t>
      </w:r>
      <w:r w:rsidR="00C65196">
        <w:rPr>
          <w:rFonts w:eastAsia="Arial Unicode MS"/>
          <w:b/>
          <w:bCs/>
          <w:sz w:val="28"/>
          <w:szCs w:val="28"/>
        </w:rPr>
        <w:t>deactivating redundant s</w:t>
      </w:r>
      <w:r>
        <w:rPr>
          <w:rFonts w:eastAsia="Arial Unicode MS"/>
          <w:b/>
          <w:bCs/>
          <w:sz w:val="28"/>
          <w:szCs w:val="28"/>
        </w:rPr>
        <w:t>patial bas</w:t>
      </w:r>
      <w:r w:rsidR="00C65196">
        <w:rPr>
          <w:rFonts w:eastAsia="Arial Unicode MS"/>
          <w:b/>
          <w:bCs/>
          <w:sz w:val="28"/>
          <w:szCs w:val="28"/>
        </w:rPr>
        <w:t>i</w:t>
      </w:r>
      <w:r>
        <w:rPr>
          <w:rFonts w:eastAsia="Arial Unicode MS"/>
          <w:b/>
          <w:bCs/>
          <w:sz w:val="28"/>
          <w:szCs w:val="28"/>
        </w:rPr>
        <w:t xml:space="preserve">s </w:t>
      </w:r>
    </w:p>
    <w:p w:rsidR="00C65196" w:rsidRPr="00BC54C3" w:rsidRDefault="00C65196" w:rsidP="00BC54C3">
      <w:pPr>
        <w:tabs>
          <w:tab w:val="left" w:pos="420"/>
        </w:tabs>
        <w:snapToGrid w:val="0"/>
        <w:spacing w:beforeLines="50" w:before="120" w:afterLines="50" w:after="120" w:line="300" w:lineRule="auto"/>
        <w:rPr>
          <w:rFonts w:eastAsia="微软雅黑"/>
          <w:szCs w:val="20"/>
        </w:rPr>
      </w:pPr>
      <w:r w:rsidRPr="00BC54C3">
        <w:rPr>
          <w:rFonts w:eastAsia="微软雅黑" w:hint="eastAsia"/>
          <w:szCs w:val="20"/>
        </w:rPr>
        <w:t xml:space="preserve">The SD basis for UPA are defined as the Kronecker product of two DFT vectors in TS 38.214. While the Kronecker-product precoding facilitates the concise indexing of the SD basis by precoding matrix indicators (PMIs) in CSI feedback, it also introduces redundant SD basis characterized by high spatial-frequency components. </w:t>
      </w:r>
      <w:bookmarkStart w:id="3" w:name="OLE_LINK8"/>
      <w:r w:rsidRPr="00BC54C3">
        <w:rPr>
          <w:rFonts w:eastAsia="微软雅黑" w:hint="eastAsia"/>
          <w:szCs w:val="20"/>
        </w:rPr>
        <w:t>A high spatial-frequency SD basis (HSFSD basis) represent an electromagnetic field distribution with higher wave-number than the free-space ones, i.e.,</w:t>
      </w:r>
    </w:p>
    <w:p w:rsidR="00C65196" w:rsidRDefault="00D2139D" w:rsidP="00BC54C3">
      <w:pPr>
        <w:adjustRightInd w:val="0"/>
        <w:snapToGrid w:val="0"/>
        <w:spacing w:beforeLines="50" w:before="120" w:afterLines="50" w:after="120" w:line="240" w:lineRule="auto"/>
        <w:jc w:val="right"/>
        <w:rPr>
          <w:szCs w:val="20"/>
        </w:rPr>
      </w:pPr>
      <m:oMath>
        <m:sSub>
          <m:sSubPr>
            <m:ctrlPr>
              <w:rPr>
                <w:rFonts w:ascii="Cambria Math" w:hAnsi="Cambria Math"/>
                <w:i/>
                <w:szCs w:val="20"/>
              </w:rPr>
            </m:ctrlPr>
          </m:sSubPr>
          <m:e>
            <w:bookmarkStart w:id="4" w:name="OLE_LINK28"/>
            <m:r>
              <w:rPr>
                <w:rFonts w:ascii="Cambria Math" w:hAnsi="Cambria Math"/>
                <w:szCs w:val="20"/>
              </w:rPr>
              <m:t>k</m:t>
            </m:r>
          </m:e>
          <m:sub>
            <m:r>
              <w:rPr>
                <w:rFonts w:ascii="Cambria Math" w:hAnsi="Cambria Math"/>
                <w:szCs w:val="20"/>
              </w:rPr>
              <m:t>HSFCW</m:t>
            </m:r>
            <w:bookmarkEnd w:id="4"/>
          </m:sub>
        </m:sSub>
        <m:r>
          <w:rPr>
            <w:rFonts w:ascii="Cambria Math" w:hAnsi="Cambria Math"/>
            <w:szCs w:val="20"/>
          </w:rPr>
          <m:t>&gt;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free-space</m:t>
            </m:r>
          </m:sub>
        </m:sSub>
        <m:r>
          <w:rPr>
            <w:rFonts w:ascii="Cambria Math" w:hAnsi="Cambria Math"/>
            <w:szCs w:val="20"/>
          </w:rPr>
          <m:t>=</m:t>
        </m:r>
        <m:f>
          <m:fPr>
            <m:ctrlPr>
              <w:rPr>
                <w:rFonts w:ascii="Cambria Math" w:hAnsi="Cambria Math"/>
                <w:i/>
                <w:szCs w:val="20"/>
              </w:rPr>
            </m:ctrlPr>
          </m:fPr>
          <m:num>
            <m:r>
              <w:rPr>
                <w:rFonts w:ascii="Cambria Math" w:hAnsi="Cambria Math"/>
                <w:szCs w:val="20"/>
              </w:rPr>
              <m:t>2π</m:t>
            </m:r>
          </m:num>
          <m:den>
            <m:r>
              <w:rPr>
                <w:rFonts w:ascii="Cambria Math" w:hAnsi="Cambria Math"/>
                <w:szCs w:val="20"/>
              </w:rPr>
              <m:t>λ</m:t>
            </m:r>
          </m:den>
        </m:f>
        <m:r>
          <w:rPr>
            <w:rFonts w:ascii="Cambria Math" w:hAnsi="Cambria Math"/>
            <w:szCs w:val="20"/>
          </w:rPr>
          <m:t>.</m:t>
        </m:r>
      </m:oMath>
      <w:r w:rsidR="00C65196" w:rsidRPr="00BC54C3">
        <w:rPr>
          <w:szCs w:val="20"/>
        </w:rPr>
        <w:t xml:space="preserve">                                   </w:t>
      </w:r>
      <w:r w:rsidR="00C65196" w:rsidRPr="00BC54C3">
        <w:rPr>
          <w:szCs w:val="20"/>
        </w:rPr>
        <w:fldChar w:fldCharType="begin"/>
      </w:r>
      <w:r w:rsidR="00C65196" w:rsidRPr="00BC54C3">
        <w:rPr>
          <w:szCs w:val="20"/>
        </w:rPr>
        <w:instrText xml:space="preserve"> = 1 \* GB2 \* MERGEFORMAT </w:instrText>
      </w:r>
      <w:r w:rsidR="00C65196" w:rsidRPr="00BC54C3">
        <w:rPr>
          <w:szCs w:val="20"/>
        </w:rPr>
        <w:fldChar w:fldCharType="separate"/>
      </w:r>
      <w:r w:rsidR="00C65196" w:rsidRPr="00BC54C3">
        <w:rPr>
          <w:rFonts w:ascii="宋体" w:hAnsi="宋体" w:cs="宋体" w:hint="eastAsia"/>
          <w:szCs w:val="20"/>
        </w:rPr>
        <w:t>⑴</w:t>
      </w:r>
      <w:r w:rsidR="00C65196" w:rsidRPr="00BC54C3">
        <w:rPr>
          <w:szCs w:val="20"/>
        </w:rPr>
        <w:fldChar w:fldCharType="end"/>
      </w:r>
    </w:p>
    <w:p w:rsidR="00C65196" w:rsidRDefault="00C65196" w:rsidP="00BC54C3">
      <w:pPr>
        <w:tabs>
          <w:tab w:val="left" w:pos="420"/>
        </w:tabs>
        <w:snapToGrid w:val="0"/>
        <w:spacing w:beforeLines="50" w:before="120" w:afterLines="50" w:after="120" w:line="300" w:lineRule="auto"/>
        <w:rPr>
          <w:szCs w:val="20"/>
        </w:rPr>
      </w:pPr>
      <w:r>
        <w:rPr>
          <w:rFonts w:hint="eastAsia"/>
          <w:szCs w:val="20"/>
        </w:rPr>
        <w:t xml:space="preserve">A field distribution with </w:t>
      </w:r>
      <m:oMath>
        <m:sSub>
          <m:sSubPr>
            <m:ctrlPr>
              <w:rPr>
                <w:rFonts w:ascii="Cambria Math" w:hAnsi="Cambria Math"/>
                <w:szCs w:val="20"/>
              </w:rPr>
            </m:ctrlPr>
          </m:sSubPr>
          <m:e>
            <m:r>
              <m:rPr>
                <m:sty m:val="p"/>
              </m:rPr>
              <w:rPr>
                <w:rFonts w:ascii="Cambria Math" w:hAnsi="Cambria Math"/>
                <w:szCs w:val="20"/>
              </w:rPr>
              <m:t>k</m:t>
            </m:r>
          </m:e>
          <m:sub>
            <m:r>
              <m:rPr>
                <m:sty m:val="p"/>
              </m:rPr>
              <w:rPr>
                <w:rFonts w:ascii="Cambria Math" w:hAnsi="Cambria Math"/>
                <w:szCs w:val="20"/>
              </w:rPr>
              <m:t>HSFSD</m:t>
            </m:r>
          </m:sub>
        </m:sSub>
      </m:oMath>
      <w:r>
        <w:rPr>
          <w:rFonts w:hint="eastAsia"/>
          <w:szCs w:val="20"/>
        </w:rPr>
        <w:t xml:space="preserve"> is recognized as an evanescent wave and it does not contribute to far-field propagation [1-3] and they do not match any physical channel. The high spatial-frequency SD basis arise due to the fact that the physical angle constraint is abandoned in the Kronecker-product type codebook. This issue will be elaborated in the following discussion.</w:t>
      </w:r>
    </w:p>
    <w:bookmarkEnd w:id="3"/>
    <w:p w:rsidR="00C65196" w:rsidRDefault="00C65196" w:rsidP="00BC54C3">
      <w:pPr>
        <w:tabs>
          <w:tab w:val="left" w:pos="420"/>
        </w:tabs>
        <w:snapToGrid w:val="0"/>
        <w:spacing w:beforeLines="50" w:before="120" w:afterLines="50" w:after="120" w:line="300" w:lineRule="auto"/>
        <w:rPr>
          <w:szCs w:val="20"/>
        </w:rPr>
      </w:pPr>
      <w:r w:rsidRPr="00BC54C3">
        <w:rPr>
          <w:rFonts w:hint="eastAsia"/>
          <w:szCs w:val="20"/>
        </w:rPr>
        <w:t xml:space="preserve">The physical channel of a ray corresponding to an AOD </w:t>
      </w:r>
      <m:oMath>
        <m:r>
          <m:rPr>
            <m:sty m:val="p"/>
          </m:rPr>
          <w:rPr>
            <w:rFonts w:ascii="Cambria Math" w:hAnsi="Cambria Math"/>
            <w:szCs w:val="20"/>
          </w:rPr>
          <m:t>(θ,φ)</m:t>
        </m:r>
      </m:oMath>
      <w:r w:rsidRPr="00BC54C3">
        <w:rPr>
          <w:szCs w:val="20"/>
        </w:rPr>
        <w:t xml:space="preserve"> </w:t>
      </w:r>
      <w:r w:rsidRPr="00BC54C3">
        <w:rPr>
          <w:rFonts w:hint="eastAsia"/>
          <w:szCs w:val="20"/>
        </w:rPr>
        <w:t xml:space="preserve">in the reference spherical coordinate system as shown in Figure </w:t>
      </w:r>
      <w:r w:rsidRPr="00BC54C3">
        <w:rPr>
          <w:szCs w:val="20"/>
        </w:rPr>
        <w:t>18</w:t>
      </w:r>
      <w:r w:rsidRPr="00BC54C3">
        <w:rPr>
          <w:rFonts w:hint="eastAsia"/>
          <w:szCs w:val="20"/>
        </w:rPr>
        <w:t xml:space="preserve"> can be expressed</w:t>
      </w:r>
      <w:r>
        <w:rPr>
          <w:rFonts w:hint="eastAsia"/>
          <w:szCs w:val="20"/>
        </w:rPr>
        <w:t xml:space="preserve"> as</w:t>
      </w:r>
    </w:p>
    <w:p w:rsidR="00C65196" w:rsidRPr="00BC54C3" w:rsidRDefault="00D2139D" w:rsidP="00BC54C3">
      <w:pPr>
        <w:adjustRightInd w:val="0"/>
        <w:snapToGrid w:val="0"/>
        <w:spacing w:beforeLines="50" w:before="120" w:afterLines="50" w:after="120" w:line="240" w:lineRule="auto"/>
        <w:jc w:val="right"/>
        <w:rPr>
          <w:szCs w:val="20"/>
        </w:rPr>
      </w:pPr>
      <m:oMath>
        <m:sSub>
          <m:sSubPr>
            <m:ctrlPr>
              <w:rPr>
                <w:rFonts w:ascii="Cambria Math" w:hAnsi="Cambria Math"/>
                <w:i/>
                <w:szCs w:val="20"/>
              </w:rPr>
            </m:ctrlPr>
          </m:sSubPr>
          <m:e>
            <m:r>
              <w:rPr>
                <w:rFonts w:ascii="Cambria Math" w:hAnsi="Cambria Math"/>
                <w:szCs w:val="20"/>
              </w:rPr>
              <m:t>h</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sub>
        </m:sSub>
        <m:r>
          <w:rPr>
            <w:rFonts w:ascii="Cambria Math" w:hAnsi="Cambria Math"/>
            <w:szCs w:val="20"/>
          </w:rPr>
          <m:t>(θ,φ)=</m:t>
        </m:r>
        <m:r>
          <m:rPr>
            <m:sty m:val="p"/>
          </m:rPr>
          <w:rPr>
            <w:rFonts w:ascii="Cambria Math" w:hAnsi="Cambria Math"/>
            <w:szCs w:val="20"/>
          </w:rPr>
          <m:t>exp</m:t>
        </m:r>
        <m:d>
          <m:dPr>
            <m:begChr m:val="["/>
            <m:endChr m:val="]"/>
            <m:ctrlPr>
              <w:rPr>
                <w:rFonts w:ascii="Cambria Math" w:hAnsi="Cambria Math"/>
                <w:i/>
                <w:szCs w:val="20"/>
              </w:rPr>
            </m:ctrlPr>
          </m:dPr>
          <m:e>
            <m:r>
              <w:rPr>
                <w:rFonts w:ascii="Cambria Math" w:hAnsi="Cambria Math"/>
                <w:szCs w:val="20"/>
              </w:rPr>
              <m:t>jk</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w:bookmarkStart w:id="5" w:name="OLE_LINK29"/>
                <m:r>
                  <m:rPr>
                    <m:sty m:val="p"/>
                  </m:rPr>
                  <w:rPr>
                    <w:rFonts w:ascii="Cambria Math" w:hAnsi="Cambria Math"/>
                    <w:szCs w:val="20"/>
                  </w:rPr>
                  <m:t>sin</m:t>
                </m:r>
                <m:r>
                  <w:rPr>
                    <w:rFonts w:ascii="Cambria Math" w:hAnsi="Cambria Math"/>
                    <w:szCs w:val="20"/>
                  </w:rPr>
                  <m:t>θ</m:t>
                </m:r>
                <m:r>
                  <m:rPr>
                    <m:sty m:val="p"/>
                  </m:rPr>
                  <w:rPr>
                    <w:rFonts w:ascii="Cambria Math" w:hAnsi="Cambria Math"/>
                    <w:szCs w:val="20"/>
                  </w:rPr>
                  <m:t>cos</m:t>
                </m:r>
                <w:bookmarkEnd w:id="5"/>
                <m:r>
                  <w:rPr>
                    <w:rFonts w:ascii="Cambria Math" w:hAnsi="Cambria Math"/>
                    <w:szCs w:val="20"/>
                  </w:rPr>
                  <m:t>φ+</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r>
                  <m:rPr>
                    <m:sty m:val="p"/>
                  </m:rPr>
                  <w:rPr>
                    <w:rFonts w:ascii="Cambria Math" w:hAnsi="Cambria Math"/>
                    <w:szCs w:val="20"/>
                  </w:rPr>
                  <m:t>sin</m:t>
                </m:r>
                <m:r>
                  <w:rPr>
                    <w:rFonts w:ascii="Cambria Math" w:hAnsi="Cambria Math"/>
                    <w:szCs w:val="20"/>
                  </w:rPr>
                  <m:t>θ</m:t>
                </m:r>
                <m:r>
                  <m:rPr>
                    <m:sty m:val="p"/>
                  </m:rPr>
                  <w:rPr>
                    <w:rFonts w:ascii="Cambria Math" w:hAnsi="Cambria Math"/>
                    <w:szCs w:val="20"/>
                  </w:rPr>
                  <m:t>sin</m:t>
                </m:r>
                <m:r>
                  <w:rPr>
                    <w:rFonts w:ascii="Cambria Math" w:hAnsi="Cambria Math"/>
                    <w:szCs w:val="20"/>
                  </w:rPr>
                  <m:t>φ</m:t>
                </m:r>
              </m:e>
            </m:d>
          </m:e>
        </m:d>
        <m:r>
          <w:rPr>
            <w:rFonts w:ascii="Cambria Math" w:hAnsi="Cambria Math"/>
            <w:szCs w:val="20"/>
          </w:rPr>
          <m:t>,</m:t>
        </m:r>
      </m:oMath>
      <w:r w:rsidR="00C65196" w:rsidRPr="00BC54C3">
        <w:rPr>
          <w:i/>
          <w:szCs w:val="20"/>
        </w:rPr>
        <w:t xml:space="preserve">                </w:t>
      </w:r>
      <w:r w:rsidR="00C65196" w:rsidRPr="00BC54C3">
        <w:rPr>
          <w:i/>
          <w:szCs w:val="20"/>
        </w:rPr>
        <w:fldChar w:fldCharType="begin"/>
      </w:r>
      <w:r w:rsidR="00C65196" w:rsidRPr="00BC54C3">
        <w:rPr>
          <w:i/>
          <w:szCs w:val="20"/>
        </w:rPr>
        <w:instrText xml:space="preserve"> = 2 \* GB2 \* MERGEFORMAT </w:instrText>
      </w:r>
      <w:r w:rsidR="00C65196" w:rsidRPr="00BC54C3">
        <w:rPr>
          <w:i/>
          <w:szCs w:val="20"/>
        </w:rPr>
        <w:fldChar w:fldCharType="separate"/>
      </w:r>
      <w:r w:rsidR="00C65196" w:rsidRPr="00BC54C3">
        <w:rPr>
          <w:rFonts w:ascii="宋体" w:hAnsi="宋体" w:cs="宋体" w:hint="eastAsia"/>
          <w:szCs w:val="20"/>
        </w:rPr>
        <w:t>⑵</w:t>
      </w:r>
      <w:r w:rsidR="00C65196" w:rsidRPr="00BC54C3">
        <w:rPr>
          <w:i/>
          <w:szCs w:val="20"/>
        </w:rPr>
        <w:fldChar w:fldCharType="end"/>
      </w:r>
    </w:p>
    <w:p w:rsidR="00C65196" w:rsidRDefault="00C65196" w:rsidP="00C65196">
      <w:pPr>
        <w:widowControl w:val="0"/>
        <w:adjustRightInd w:val="0"/>
        <w:snapToGrid w:val="0"/>
        <w:spacing w:beforeLines="50" w:before="120" w:afterLines="50" w:after="120" w:line="240" w:lineRule="auto"/>
        <w:rPr>
          <w:szCs w:val="20"/>
        </w:rPr>
      </w:pPr>
      <w:r>
        <w:rPr>
          <w:szCs w:val="20"/>
        </w:rPr>
        <w:t>while the Kronecker-product precoding reads</w:t>
      </w:r>
    </w:p>
    <w:p w:rsidR="00C65196" w:rsidRDefault="00D2139D" w:rsidP="00BC54C3">
      <w:pPr>
        <w:adjustRightInd w:val="0"/>
        <w:snapToGrid w:val="0"/>
        <w:spacing w:beforeLines="50" w:before="120" w:afterLines="50" w:after="120" w:line="240" w:lineRule="auto"/>
        <w:jc w:val="right"/>
        <w:rPr>
          <w:szCs w:val="20"/>
        </w:rPr>
      </w:pPr>
      <m:oMath>
        <m:sSub>
          <m:sSubPr>
            <m:ctrlPr>
              <w:rPr>
                <w:rFonts w:ascii="Cambria Math" w:hAnsi="Cambria Math"/>
                <w:i/>
                <w:szCs w:val="20"/>
              </w:rPr>
            </m:ctrlPr>
          </m:sSubPr>
          <m:e>
            <m:r>
              <w:rPr>
                <w:rFonts w:ascii="Cambria Math" w:hAnsi="Cambria Math"/>
                <w:szCs w:val="20"/>
              </w:rPr>
              <m:t>v</m:t>
            </m:r>
          </m:e>
          <m:sub>
            <m:r>
              <w:rPr>
                <w:rFonts w:ascii="Cambria Math" w:hAnsi="Cambria Math"/>
                <w:szCs w:val="20"/>
              </w:rPr>
              <m:t>lm,</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sub>
        </m:sSub>
        <m:r>
          <w:rPr>
            <w:rFonts w:ascii="Cambria Math" w:hAnsi="Cambria Math"/>
            <w:szCs w:val="20"/>
          </w:rPr>
          <m:t>=</m:t>
        </m:r>
        <m:r>
          <m:rPr>
            <m:sty m:val="p"/>
          </m:rPr>
          <w:rPr>
            <w:rFonts w:ascii="Cambria Math" w:hAnsi="Cambria Math"/>
            <w:szCs w:val="20"/>
          </w:rPr>
          <m:t>exp</m:t>
        </m:r>
        <m:d>
          <m:dPr>
            <m:begChr m:val="["/>
            <m:endChr m:val="]"/>
            <m:ctrlPr>
              <w:rPr>
                <w:rFonts w:ascii="Cambria Math" w:hAnsi="Cambria Math"/>
                <w:i/>
                <w:szCs w:val="20"/>
              </w:rPr>
            </m:ctrlPr>
          </m:dPr>
          <m:e>
            <m:r>
              <w:rPr>
                <w:rFonts w:ascii="Cambria Math" w:hAnsi="Cambria Math"/>
                <w:szCs w:val="20"/>
              </w:rPr>
              <m:t>j2π</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f>
                  <m:fPr>
                    <m:ctrlPr>
                      <w:rPr>
                        <w:rFonts w:ascii="Cambria Math" w:hAnsi="Cambria Math"/>
                        <w:i/>
                        <w:szCs w:val="20"/>
                      </w:rPr>
                    </m:ctrlPr>
                  </m:fPr>
                  <m:num>
                    <m:r>
                      <w:rPr>
                        <w:rFonts w:ascii="Cambria Math" w:hAnsi="Cambria Math"/>
                        <w:szCs w:val="20"/>
                      </w:rPr>
                      <m:t>l</m:t>
                    </m:r>
                  </m:num>
                  <m:den>
                    <m:sSub>
                      <m:sSubPr>
                        <m:ctrlPr>
                          <w:rPr>
                            <w:rFonts w:ascii="Cambria Math" w:hAnsi="Cambria Math"/>
                            <w:i/>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den>
                </m:f>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f>
                  <m:fPr>
                    <m:ctrlPr>
                      <w:rPr>
                        <w:rFonts w:ascii="Cambria Math" w:hAnsi="Cambria Math"/>
                        <w:i/>
                        <w:szCs w:val="20"/>
                      </w:rPr>
                    </m:ctrlPr>
                  </m:fPr>
                  <m:num>
                    <m:r>
                      <w:rPr>
                        <w:rFonts w:ascii="Cambria Math" w:hAnsi="Cambria Math"/>
                        <w:szCs w:val="20"/>
                      </w:rPr>
                      <m:t>m</m:t>
                    </m:r>
                  </m:num>
                  <m:den>
                    <m:sSub>
                      <m:sSubPr>
                        <m:ctrlPr>
                          <w:rPr>
                            <w:rFonts w:ascii="Cambria Math" w:hAnsi="Cambria Math"/>
                            <w:i/>
                            <w:szCs w:val="20"/>
                          </w:rPr>
                        </m:ctrlPr>
                      </m:sSubPr>
                      <m:e>
                        <m:r>
                          <w:rPr>
                            <w:rFonts w:ascii="Cambria Math" w:hAnsi="Cambria Math"/>
                            <w:szCs w:val="20"/>
                          </w:rPr>
                          <m:t>O</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den>
                </m:f>
              </m:e>
            </m:d>
          </m:e>
        </m:d>
        <m:r>
          <w:rPr>
            <w:rFonts w:ascii="Cambria Math" w:hAnsi="Cambria Math"/>
            <w:szCs w:val="20"/>
          </w:rPr>
          <m:t xml:space="preserve">.                                                          </m:t>
        </m:r>
      </m:oMath>
      <w:r w:rsidR="00C65196" w:rsidRPr="00BC54C3">
        <w:rPr>
          <w:i/>
          <w:szCs w:val="20"/>
        </w:rPr>
        <w:fldChar w:fldCharType="begin"/>
      </w:r>
      <w:r w:rsidR="00C65196" w:rsidRPr="00BC54C3">
        <w:rPr>
          <w:i/>
          <w:szCs w:val="20"/>
        </w:rPr>
        <w:instrText xml:space="preserve"> = 3 \* GB2 \* MERGEFORMAT </w:instrText>
      </w:r>
      <w:r w:rsidR="00C65196" w:rsidRPr="00BC54C3">
        <w:rPr>
          <w:i/>
          <w:szCs w:val="20"/>
        </w:rPr>
        <w:fldChar w:fldCharType="separate"/>
      </w:r>
      <w:r w:rsidR="00C65196" w:rsidRPr="00BC54C3">
        <w:rPr>
          <w:rFonts w:ascii="宋体" w:hAnsi="宋体" w:cs="宋体" w:hint="eastAsia"/>
          <w:szCs w:val="20"/>
        </w:rPr>
        <w:t>⑶</w:t>
      </w:r>
      <w:r w:rsidR="00C65196" w:rsidRPr="00BC54C3">
        <w:rPr>
          <w:i/>
          <w:szCs w:val="20"/>
        </w:rPr>
        <w:fldChar w:fldCharType="end"/>
      </w:r>
    </w:p>
    <w:p w:rsidR="00C65196" w:rsidRDefault="00C65196" w:rsidP="00C65196">
      <w:pPr>
        <w:widowControl w:val="0"/>
        <w:adjustRightInd w:val="0"/>
        <w:snapToGrid w:val="0"/>
        <w:spacing w:beforeLines="50" w:before="120" w:afterLines="50" w:after="120" w:line="240" w:lineRule="auto"/>
        <w:rPr>
          <w:szCs w:val="20"/>
        </w:rPr>
      </w:pPr>
      <w:r>
        <w:rPr>
          <w:szCs w:val="20"/>
        </w:rPr>
        <w:t>The comparison between equations (2) and (3) yields</w:t>
      </w:r>
    </w:p>
    <w:p w:rsidR="00C65196" w:rsidRDefault="00D2139D" w:rsidP="00BC54C3">
      <w:pPr>
        <w:widowControl w:val="0"/>
        <w:adjustRightInd w:val="0"/>
        <w:snapToGrid w:val="0"/>
        <w:spacing w:beforeLines="50" w:before="120" w:afterLines="50" w:after="120" w:line="240" w:lineRule="auto"/>
        <w:jc w:val="right"/>
        <w:rPr>
          <w:szCs w:val="20"/>
        </w:rPr>
      </w:pPr>
      <m:oMath>
        <m:sSup>
          <m:sSupPr>
            <m:ctrlPr>
              <w:rPr>
                <w:rFonts w:ascii="Cambria Math" w:hAnsi="Cambria Math"/>
                <w:i/>
                <w:iCs/>
                <w:szCs w:val="20"/>
              </w:rPr>
            </m:ctrlPr>
          </m:sSupPr>
          <m:e>
            <m:d>
              <m:dPr>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2l'</m:t>
                    </m:r>
                  </m:num>
                  <m:den>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den>
                </m:f>
              </m:e>
            </m:d>
          </m:e>
          <m:sup>
            <m:r>
              <w:rPr>
                <w:rFonts w:ascii="Cambria Math" w:hAnsi="Cambria Math"/>
                <w:szCs w:val="20"/>
              </w:rPr>
              <m:t>2</m:t>
            </m:r>
          </m:sup>
        </m:sSup>
        <m:r>
          <w:rPr>
            <w:rFonts w:ascii="Cambria Math" w:hAnsi="Cambria Math"/>
            <w:szCs w:val="20"/>
          </w:rPr>
          <m:t>+</m:t>
        </m:r>
        <m:sSup>
          <m:sSupPr>
            <m:ctrlPr>
              <w:rPr>
                <w:rFonts w:ascii="Cambria Math" w:hAnsi="Cambria Math"/>
                <w:i/>
                <w:iCs/>
                <w:szCs w:val="20"/>
              </w:rPr>
            </m:ctrlPr>
          </m:sSupPr>
          <m:e>
            <m:d>
              <m:dPr>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2m'</m:t>
                    </m:r>
                  </m:num>
                  <m:den>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den>
                </m:f>
              </m:e>
            </m:d>
          </m:e>
          <m:sup>
            <m:r>
              <w:rPr>
                <w:rFonts w:ascii="Cambria Math" w:hAnsi="Cambria Math"/>
                <w:szCs w:val="20"/>
              </w:rPr>
              <m:t>2</m:t>
            </m:r>
          </m:sup>
        </m:sSup>
        <m:r>
          <w:rPr>
            <w:rFonts w:ascii="Cambria Math" w:hAnsi="Cambria Math"/>
            <w:szCs w:val="20"/>
          </w:rPr>
          <m:t>≤1,</m:t>
        </m:r>
      </m:oMath>
      <w:r w:rsidR="00C65196">
        <w:rPr>
          <w:rFonts w:hint="eastAsia"/>
          <w:szCs w:val="20"/>
        </w:rPr>
        <w:t xml:space="preserve">                                        </w:t>
      </w:r>
      <w:r w:rsidR="00C65196">
        <w:rPr>
          <w:rFonts w:hint="eastAsia"/>
          <w:szCs w:val="20"/>
        </w:rPr>
        <w:fldChar w:fldCharType="begin"/>
      </w:r>
      <w:r w:rsidR="00C65196">
        <w:rPr>
          <w:rFonts w:hint="eastAsia"/>
          <w:szCs w:val="20"/>
        </w:rPr>
        <w:instrText xml:space="preserve"> = 4 \* GB2 \* MERGEFORMAT </w:instrText>
      </w:r>
      <w:r w:rsidR="00C65196">
        <w:rPr>
          <w:rFonts w:hint="eastAsia"/>
          <w:szCs w:val="20"/>
        </w:rPr>
        <w:fldChar w:fldCharType="separate"/>
      </w:r>
      <w:r w:rsidR="00C65196">
        <w:rPr>
          <w:szCs w:val="20"/>
        </w:rPr>
        <w:t>⑷</w:t>
      </w:r>
      <w:r w:rsidR="00C65196">
        <w:rPr>
          <w:rFonts w:hint="eastAsia"/>
          <w:szCs w:val="20"/>
        </w:rPr>
        <w:fldChar w:fldCharType="end"/>
      </w:r>
    </w:p>
    <w:p w:rsidR="00C65196" w:rsidRDefault="00C65196" w:rsidP="00C65196">
      <w:pPr>
        <w:widowControl w:val="0"/>
        <w:adjustRightInd w:val="0"/>
        <w:snapToGrid w:val="0"/>
        <w:spacing w:beforeLines="50" w:before="120" w:afterLines="50" w:after="120" w:line="240" w:lineRule="auto"/>
        <w:rPr>
          <w:szCs w:val="20"/>
        </w:rPr>
      </w:pPr>
      <w:r>
        <w:rPr>
          <w:szCs w:val="20"/>
        </w:rPr>
        <w:t>where</w:t>
      </w:r>
    </w:p>
    <w:p w:rsidR="00C65196" w:rsidRDefault="00C65196" w:rsidP="00BC54C3">
      <w:pPr>
        <w:widowControl w:val="0"/>
        <w:adjustRightInd w:val="0"/>
        <w:snapToGrid w:val="0"/>
        <w:spacing w:beforeLines="50" w:before="120" w:afterLines="50" w:after="120" w:line="240" w:lineRule="auto"/>
        <w:jc w:val="right"/>
        <w:rPr>
          <w:szCs w:val="20"/>
        </w:rPr>
      </w:pPr>
      <m:oMath>
        <m:r>
          <w:rPr>
            <w:rFonts w:ascii="Cambria Math" w:hAnsi="Cambria Math"/>
            <w:szCs w:val="20"/>
          </w:rPr>
          <m:t>l'=</m:t>
        </m:r>
        <m:d>
          <m:dPr>
            <m:begChr m:val="{"/>
            <m:endChr m:val=""/>
            <m:ctrlPr>
              <w:rPr>
                <w:rFonts w:ascii="Cambria Math" w:hAnsi="Cambria Math"/>
                <w:i/>
                <w:szCs w:val="20"/>
              </w:rPr>
            </m:ctrlPr>
          </m:dPr>
          <m:e>
            <m:eqArr>
              <m:eqArrPr>
                <m:ctrlPr>
                  <w:rPr>
                    <w:rFonts w:ascii="Cambria Math" w:hAnsi="Cambria Math"/>
                    <w:i/>
                    <w:szCs w:val="20"/>
                  </w:rPr>
                </m:ctrlPr>
              </m:eqArrPr>
              <m:e>
                <m:r>
                  <w:rPr>
                    <w:rFonts w:ascii="Cambria Math" w:hAnsi="Cambria Math"/>
                    <w:szCs w:val="20"/>
                  </w:rPr>
                  <m:t>l,                  l≤</m:t>
                </m:r>
                <m:sSub>
                  <m:sSubPr>
                    <m:ctrlPr>
                      <w:rPr>
                        <w:rFonts w:ascii="Cambria Math" w:hAnsi="Cambria Math"/>
                        <w:i/>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/2,</m:t>
                </m:r>
              </m:e>
              <m:e>
                <m:r>
                  <w:rPr>
                    <w:rFonts w:ascii="Cambria Math" w:hAnsi="Cambria Math"/>
                    <w:szCs w:val="20"/>
                  </w:rPr>
                  <m:t>l-</m:t>
                </m:r>
                <m:sSub>
                  <m:sSubPr>
                    <m:ctrlPr>
                      <w:rPr>
                        <w:rFonts w:ascii="Cambria Math" w:hAnsi="Cambria Math"/>
                        <w:i/>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 xml:space="preserve">/2, </m:t>
                </m:r>
                <m:r>
                  <m:rPr>
                    <m:sty m:val="p"/>
                  </m:rPr>
                  <w:rPr>
                    <w:rFonts w:ascii="Cambria Math" w:hAnsi="Cambria Math"/>
                    <w:szCs w:val="20"/>
                  </w:rPr>
                  <m:t>otherwise,</m:t>
                </m:r>
              </m:e>
            </m:eqArr>
          </m:e>
        </m:d>
        <m:r>
          <w:rPr>
            <w:rFonts w:ascii="Cambria Math" w:hAnsi="Cambria Math"/>
            <w:szCs w:val="20"/>
          </w:rPr>
          <m:t xml:space="preserve"> </m:t>
        </m:r>
        <m:r>
          <m:rPr>
            <m:sty m:val="p"/>
          </m:rPr>
          <w:rPr>
            <w:rFonts w:ascii="Cambria Math" w:hAnsi="Cambria Math"/>
            <w:szCs w:val="20"/>
          </w:rPr>
          <m:t>and</m:t>
        </m:r>
        <m:r>
          <w:rPr>
            <w:rFonts w:ascii="Cambria Math" w:hAnsi="Cambria Math"/>
            <w:szCs w:val="20"/>
          </w:rPr>
          <m:t xml:space="preserve"> m'=</m:t>
        </m:r>
        <m:d>
          <m:dPr>
            <m:begChr m:val="{"/>
            <m:endChr m:val=""/>
            <m:ctrlPr>
              <w:rPr>
                <w:rFonts w:ascii="Cambria Math" w:hAnsi="Cambria Math"/>
                <w:i/>
                <w:szCs w:val="20"/>
              </w:rPr>
            </m:ctrlPr>
          </m:dPr>
          <m:e>
            <m:eqArr>
              <m:eqArrPr>
                <m:ctrlPr>
                  <w:rPr>
                    <w:rFonts w:ascii="Cambria Math" w:hAnsi="Cambria Math"/>
                    <w:i/>
                    <w:szCs w:val="20"/>
                  </w:rPr>
                </m:ctrlPr>
              </m:eqArrPr>
              <m:e>
                <m:r>
                  <w:rPr>
                    <w:rFonts w:ascii="Cambria Math" w:hAnsi="Cambria Math"/>
                    <w:szCs w:val="20"/>
                  </w:rPr>
                  <m:t>m,                  l≤</m:t>
                </m:r>
                <m:sSub>
                  <m:sSubPr>
                    <m:ctrlPr>
                      <w:rPr>
                        <w:rFonts w:ascii="Cambria Math" w:hAnsi="Cambria Math"/>
                        <w:i/>
                        <w:szCs w:val="20"/>
                      </w:rPr>
                    </m:ctrlPr>
                  </m:sSubPr>
                  <m:e>
                    <m:r>
                      <w:rPr>
                        <w:rFonts w:ascii="Cambria Math" w:hAnsi="Cambria Math"/>
                        <w:szCs w:val="20"/>
                      </w:rPr>
                      <m:t>O</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/2,</m:t>
                </m:r>
              </m:e>
              <m:e>
                <m:r>
                  <w:rPr>
                    <w:rFonts w:ascii="Cambria Math" w:hAnsi="Cambria Math"/>
                    <w:szCs w:val="20"/>
                  </w:rPr>
                  <m:t>m-</m:t>
                </m:r>
                <m:sSub>
                  <m:sSubPr>
                    <m:ctrlPr>
                      <w:rPr>
                        <w:rFonts w:ascii="Cambria Math" w:hAnsi="Cambria Math"/>
                        <w:i/>
                        <w:szCs w:val="20"/>
                      </w:rPr>
                    </m:ctrlPr>
                  </m:sSubPr>
                  <m:e>
                    <m:r>
                      <w:rPr>
                        <w:rFonts w:ascii="Cambria Math" w:hAnsi="Cambria Math"/>
                        <w:szCs w:val="20"/>
                      </w:rPr>
                      <m:t>O</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 xml:space="preserve">/2, </m:t>
                </m:r>
                <m:r>
                  <m:rPr>
                    <m:sty m:val="p"/>
                  </m:rPr>
                  <w:rPr>
                    <w:rFonts w:ascii="Cambria Math" w:hAnsi="Cambria Math"/>
                    <w:szCs w:val="20"/>
                  </w:rPr>
                  <m:t>otherwise.</m:t>
                </m:r>
              </m:e>
            </m:eqArr>
          </m:e>
        </m:d>
      </m:oMath>
      <w:r>
        <w:rPr>
          <w:szCs w:val="20"/>
        </w:rPr>
        <w:t xml:space="preserve">       </w:t>
      </w:r>
      <w:r>
        <w:rPr>
          <w:szCs w:val="20"/>
        </w:rPr>
        <w:fldChar w:fldCharType="begin"/>
      </w:r>
      <w:r>
        <w:rPr>
          <w:szCs w:val="20"/>
        </w:rPr>
        <w:instrText xml:space="preserve"> = 5 \* GB2 \* MERGEFORMAT </w:instrText>
      </w:r>
      <w:r>
        <w:rPr>
          <w:szCs w:val="20"/>
        </w:rPr>
        <w:fldChar w:fldCharType="separate"/>
      </w:r>
      <w:r>
        <w:rPr>
          <w:szCs w:val="20"/>
        </w:rPr>
        <w:t>⑸</w:t>
      </w:r>
      <w:r>
        <w:rPr>
          <w:szCs w:val="20"/>
        </w:rPr>
        <w:fldChar w:fldCharType="end"/>
      </w:r>
    </w:p>
    <w:p w:rsidR="00C65196" w:rsidRDefault="00C65196" w:rsidP="00BC54C3">
      <w:pPr>
        <w:tabs>
          <w:tab w:val="left" w:pos="420"/>
        </w:tabs>
        <w:snapToGrid w:val="0"/>
        <w:spacing w:beforeLines="50" w:before="120" w:afterLines="50" w:after="120" w:line="300" w:lineRule="auto"/>
        <w:rPr>
          <w:szCs w:val="20"/>
        </w:rPr>
      </w:pPr>
      <w:r>
        <w:rPr>
          <w:szCs w:val="20"/>
        </w:rPr>
        <w:t xml:space="preserve">The spacing of adjacent antenna units in the UPA are assumed to be 0.5λ in the above derivation. In fact, equation (4) is equivalent to </w:t>
      </w:r>
      <m:oMath>
        <m:sSubSup>
          <m:sSubSupPr>
            <m:ctrlPr>
              <w:rPr>
                <w:rFonts w:ascii="Cambria Math" w:hAnsi="Cambria Math"/>
                <w:i/>
                <w:szCs w:val="20"/>
              </w:rPr>
            </m:ctrlPr>
          </m:sSubSupPr>
          <m:e>
            <m:r>
              <w:rPr>
                <w:rFonts w:ascii="Cambria Math" w:hAnsi="Cambria Math"/>
                <w:szCs w:val="20"/>
              </w:rPr>
              <m:t>k</m:t>
            </m:r>
          </m:e>
          <m:sub>
            <m:r>
              <w:rPr>
                <w:rFonts w:ascii="Cambria Math" w:hAnsi="Cambria Math"/>
                <w:szCs w:val="20"/>
              </w:rPr>
              <m:t>x</m:t>
            </m:r>
          </m:sub>
          <m:sup>
            <m:r>
              <w:rPr>
                <w:rFonts w:ascii="Cambria Math" w:hAnsi="Cambria Math"/>
                <w:szCs w:val="20"/>
              </w:rPr>
              <m:t>2</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k</m:t>
            </m:r>
          </m:e>
          <m:sub>
            <m:r>
              <w:rPr>
                <w:rFonts w:ascii="Cambria Math" w:hAnsi="Cambria Math"/>
                <w:szCs w:val="20"/>
              </w:rPr>
              <m:t>y</m:t>
            </m:r>
          </m:sub>
          <m:sup>
            <m:r>
              <w:rPr>
                <w:rFonts w:ascii="Cambria Math" w:hAnsi="Cambria Math"/>
                <w:szCs w:val="20"/>
              </w:rPr>
              <m:t>2</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2</m:t>
            </m:r>
          </m:sup>
        </m:sSup>
      </m:oMath>
      <w:r>
        <w:rPr>
          <w:szCs w:val="20"/>
        </w:rPr>
        <w:t xml:space="preserve"> as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x</m:t>
            </m:r>
          </m:sub>
        </m:sSub>
        <m:r>
          <m:rPr>
            <m:sty m:val="p"/>
          </m:rPr>
          <w:rPr>
            <w:rFonts w:ascii="Cambria Math" w:hAnsi="Cambria Math"/>
            <w:szCs w:val="20"/>
          </w:rPr>
          <m:t>=</m:t>
        </m:r>
        <m:r>
          <w:rPr>
            <w:rFonts w:ascii="Cambria Math" w:hAnsi="Cambria Math"/>
            <w:szCs w:val="20"/>
          </w:rPr>
          <m:t>k</m:t>
        </m:r>
        <m:r>
          <m:rPr>
            <m:sty m:val="p"/>
          </m:rPr>
          <w:rPr>
            <w:rFonts w:ascii="Cambria Math" w:hAnsi="Cambria Math"/>
            <w:szCs w:val="20"/>
          </w:rPr>
          <m:t>sin</m:t>
        </m:r>
        <m:r>
          <w:rPr>
            <w:rFonts w:ascii="Cambria Math" w:hAnsi="Cambria Math"/>
            <w:szCs w:val="20"/>
          </w:rPr>
          <m:t>θ</m:t>
        </m:r>
        <m:r>
          <m:rPr>
            <m:sty m:val="p"/>
          </m:rPr>
          <w:rPr>
            <w:rFonts w:ascii="Cambria Math" w:hAnsi="Cambria Math"/>
            <w:szCs w:val="20"/>
          </w:rPr>
          <m:t>cos</m:t>
        </m:r>
        <m:r>
          <w:rPr>
            <w:rFonts w:ascii="Cambria Math" w:hAnsi="Cambria Math"/>
            <w:szCs w:val="20"/>
          </w:rPr>
          <m:t>φ</m:t>
        </m:r>
      </m:oMath>
      <w:r>
        <w:rPr>
          <w:szCs w:val="20"/>
        </w:rPr>
        <w:t xml:space="preserve">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y</m:t>
            </m:r>
          </m:sub>
        </m:sSub>
        <m:r>
          <m:rPr>
            <m:sty m:val="p"/>
          </m:rPr>
          <w:rPr>
            <w:rFonts w:ascii="Cambria Math" w:hAnsi="Cambria Math"/>
            <w:szCs w:val="20"/>
          </w:rPr>
          <m:t>=</m:t>
        </m:r>
        <m:r>
          <w:rPr>
            <w:rFonts w:ascii="Cambria Math" w:hAnsi="Cambria Math"/>
            <w:szCs w:val="20"/>
          </w:rPr>
          <m:t>k</m:t>
        </m:r>
        <m:r>
          <m:rPr>
            <m:sty m:val="p"/>
          </m:rPr>
          <w:rPr>
            <w:rFonts w:ascii="Cambria Math" w:hAnsi="Cambria Math"/>
            <w:szCs w:val="20"/>
          </w:rPr>
          <m:t>sin</m:t>
        </m:r>
        <m:r>
          <w:rPr>
            <w:rFonts w:ascii="Cambria Math" w:hAnsi="Cambria Math"/>
            <w:szCs w:val="20"/>
          </w:rPr>
          <m:t>θ</m:t>
        </m:r>
        <m:r>
          <m:rPr>
            <m:sty m:val="p"/>
          </m:rPr>
          <w:rPr>
            <w:rFonts w:ascii="Cambria Math" w:hAnsi="Cambria Math"/>
            <w:szCs w:val="20"/>
          </w:rPr>
          <m:t>sin</m:t>
        </m:r>
        <m:r>
          <w:rPr>
            <w:rFonts w:ascii="Cambria Math" w:hAnsi="Cambria Math"/>
            <w:szCs w:val="20"/>
          </w:rPr>
          <m:t>φ</m:t>
        </m:r>
      </m:oMath>
      <w:r>
        <w:rPr>
          <w:szCs w:val="20"/>
        </w:rPr>
        <w:t>, which can be inferred from equation (2).</w:t>
      </w:r>
    </w:p>
    <w:p w:rsidR="00C65196" w:rsidRDefault="00C65196" w:rsidP="00C65196">
      <w:pPr>
        <w:adjustRightInd w:val="0"/>
        <w:snapToGrid w:val="0"/>
        <w:spacing w:beforeLines="50" w:before="120" w:afterLines="50" w:after="120" w:line="240" w:lineRule="auto"/>
        <w:jc w:val="center"/>
        <w:rPr>
          <w:szCs w:val="20"/>
        </w:rPr>
      </w:pPr>
      <w:r>
        <w:rPr>
          <w:noProof/>
          <w:szCs w:val="20"/>
        </w:rPr>
        <w:lastRenderedPageBreak/>
        <w:drawing>
          <wp:inline distT="0" distB="0" distL="114300" distR="114300" wp14:anchorId="69C42DB5" wp14:editId="261A7B48">
            <wp:extent cx="1533525" cy="1490980"/>
            <wp:effectExtent l="0" t="0" r="3175" b="7620"/>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
                    <pic:cNvPicPr>
                      <a:picLocks noChangeAspect="1"/>
                    </pic:cNvPicPr>
                  </pic:nvPicPr>
                  <pic:blipFill>
                    <a:blip r:embed="rId42"/>
                    <a:stretch>
                      <a:fillRect/>
                    </a:stretch>
                  </pic:blipFill>
                  <pic:spPr>
                    <a:xfrm>
                      <a:off x="0" y="0"/>
                      <a:ext cx="1533525" cy="1490980"/>
                    </a:xfrm>
                    <a:prstGeom prst="rect">
                      <a:avLst/>
                    </a:prstGeom>
                  </pic:spPr>
                </pic:pic>
              </a:graphicData>
            </a:graphic>
          </wp:inline>
        </w:drawing>
      </w:r>
    </w:p>
    <w:p w:rsidR="00C65196" w:rsidRDefault="00C65196" w:rsidP="00BC54C3">
      <w:pPr>
        <w:tabs>
          <w:tab w:val="left" w:pos="420"/>
        </w:tabs>
        <w:snapToGrid w:val="0"/>
        <w:spacing w:beforeLines="50" w:before="120" w:afterLines="50" w:after="120" w:line="300" w:lineRule="auto"/>
        <w:jc w:val="center"/>
        <w:rPr>
          <w:szCs w:val="20"/>
        </w:rPr>
      </w:pPr>
      <w:r>
        <w:rPr>
          <w:rFonts w:hint="eastAsia"/>
          <w:b/>
          <w:bCs/>
        </w:rPr>
        <w:t>Figure 1</w:t>
      </w:r>
      <w:r>
        <w:rPr>
          <w:b/>
          <w:bCs/>
        </w:rPr>
        <w:t>8</w:t>
      </w:r>
      <w:r>
        <w:rPr>
          <w:rFonts w:hint="eastAsia"/>
        </w:rPr>
        <w:t xml:space="preserve"> </w:t>
      </w:r>
      <w:r>
        <w:t>Diagram of r</w:t>
      </w:r>
      <w:r>
        <w:rPr>
          <w:rFonts w:hint="eastAsia"/>
          <w:szCs w:val="20"/>
        </w:rPr>
        <w:t>eference spherical coordinate system.</w:t>
      </w:r>
    </w:p>
    <w:p w:rsidR="00C65196" w:rsidRDefault="00C65196" w:rsidP="00BC54C3">
      <w:pPr>
        <w:tabs>
          <w:tab w:val="left" w:pos="420"/>
        </w:tabs>
        <w:snapToGrid w:val="0"/>
        <w:spacing w:beforeLines="50" w:before="120" w:afterLines="50" w:after="120" w:line="300" w:lineRule="auto"/>
        <w:rPr>
          <w:szCs w:val="20"/>
        </w:rPr>
      </w:pPr>
      <w:r>
        <w:rPr>
          <w:szCs w:val="20"/>
        </w:rPr>
        <w:t>It is clear that the range of beam indices</w:t>
      </w:r>
      <w:r>
        <w:rPr>
          <w:i/>
          <w:iCs/>
          <w:szCs w:val="20"/>
        </w:rPr>
        <w:t xml:space="preserve"> l</w:t>
      </w:r>
      <w:r>
        <w:rPr>
          <w:szCs w:val="20"/>
        </w:rPr>
        <w:t xml:space="preserve"> and </w:t>
      </w:r>
      <w:r>
        <w:rPr>
          <w:i/>
          <w:iCs/>
          <w:szCs w:val="20"/>
        </w:rPr>
        <w:t>m</w:t>
      </w:r>
      <w:r>
        <w:rPr>
          <w:szCs w:val="20"/>
        </w:rPr>
        <w:t xml:space="preserve"> should be limited according to equation (4). The SD basis whose index (</w:t>
      </w:r>
      <w:proofErr w:type="spellStart"/>
      <w:proofErr w:type="gramStart"/>
      <w:r>
        <w:rPr>
          <w:i/>
          <w:iCs/>
          <w:szCs w:val="20"/>
        </w:rPr>
        <w:t>l</w:t>
      </w:r>
      <w:r>
        <w:rPr>
          <w:szCs w:val="20"/>
        </w:rPr>
        <w:t>,</w:t>
      </w:r>
      <w:r>
        <w:rPr>
          <w:i/>
          <w:iCs/>
          <w:szCs w:val="20"/>
        </w:rPr>
        <w:t>m</w:t>
      </w:r>
      <w:proofErr w:type="spellEnd"/>
      <w:proofErr w:type="gramEnd"/>
      <w:r>
        <w:rPr>
          <w:szCs w:val="20"/>
        </w:rPr>
        <w:t xml:space="preserve">) does not satisfy equation (4) are </w:t>
      </w:r>
      <w:r>
        <w:rPr>
          <w:rFonts w:hint="eastAsia"/>
          <w:szCs w:val="20"/>
        </w:rPr>
        <w:t>HSFSD basi</w:t>
      </w:r>
      <w:r>
        <w:rPr>
          <w:szCs w:val="20"/>
        </w:rPr>
        <w:t>s and they should be deactivated since they do not represent any physical channel and hence it will not be selected by any UE un</w:t>
      </w:r>
      <w:r>
        <w:rPr>
          <w:rFonts w:hint="eastAsia"/>
          <w:szCs w:val="20"/>
        </w:rPr>
        <w:t>less</w:t>
      </w:r>
      <w:r>
        <w:rPr>
          <w:szCs w:val="20"/>
        </w:rPr>
        <w:t xml:space="preserve"> </w:t>
      </w:r>
      <w:r>
        <w:rPr>
          <w:rFonts w:hint="eastAsia"/>
          <w:szCs w:val="20"/>
        </w:rPr>
        <w:t>the SD basis selection is performed under low SNR or low SINR circumstances.</w:t>
      </w:r>
      <w:r>
        <w:rPr>
          <w:szCs w:val="20"/>
        </w:rPr>
        <w:t xml:space="preserve"> However, when Kronecker-product is applied to form the SD basis in TS 38.214, every SD </w:t>
      </w:r>
      <w:r>
        <w:rPr>
          <w:rFonts w:hint="eastAsia"/>
          <w:szCs w:val="20"/>
        </w:rPr>
        <w:t>basis</w:t>
      </w:r>
      <w:r>
        <w:rPr>
          <w:szCs w:val="20"/>
        </w:rPr>
        <w:t xml:space="preserve"> is assumed to have the same probability to be chosen for CSI feedback. </w:t>
      </w:r>
      <w:r w:rsidRPr="00E74DA2">
        <w:rPr>
          <w:rFonts w:hint="eastAsia"/>
          <w:szCs w:val="20"/>
        </w:rPr>
        <w:t xml:space="preserve">Figure </w:t>
      </w:r>
      <w:r w:rsidRPr="00E74DA2">
        <w:rPr>
          <w:szCs w:val="20"/>
        </w:rPr>
        <w:t>1</w:t>
      </w:r>
      <w:r>
        <w:rPr>
          <w:szCs w:val="20"/>
        </w:rPr>
        <w:t>9</w:t>
      </w:r>
      <w:r w:rsidRPr="00E74DA2">
        <w:rPr>
          <w:rFonts w:hint="eastAsia"/>
          <w:szCs w:val="20"/>
        </w:rPr>
        <w:t xml:space="preserve"> </w:t>
      </w:r>
      <w:r>
        <w:rPr>
          <w:szCs w:val="20"/>
        </w:rPr>
        <w:t xml:space="preserve">shows an example of the </w:t>
      </w:r>
      <w:r>
        <w:rPr>
          <w:rFonts w:hint="eastAsia"/>
          <w:szCs w:val="20"/>
        </w:rPr>
        <w:t>HSFSD basis</w:t>
      </w:r>
      <w:r>
        <w:rPr>
          <w:szCs w:val="20"/>
        </w:rPr>
        <w:t xml:space="preserve"> region in a codebook with N</w:t>
      </w:r>
      <w:r>
        <w:rPr>
          <w:szCs w:val="20"/>
          <w:vertAlign w:val="subscript"/>
        </w:rPr>
        <w:t>1</w:t>
      </w:r>
      <w:r>
        <w:rPr>
          <w:szCs w:val="20"/>
        </w:rPr>
        <w:t>=N</w:t>
      </w:r>
      <w:r>
        <w:rPr>
          <w:szCs w:val="20"/>
          <w:vertAlign w:val="subscript"/>
        </w:rPr>
        <w:t>2</w:t>
      </w:r>
      <w:r>
        <w:rPr>
          <w:szCs w:val="20"/>
        </w:rPr>
        <w:t>=8, O</w:t>
      </w:r>
      <w:r>
        <w:rPr>
          <w:szCs w:val="20"/>
          <w:vertAlign w:val="subscript"/>
        </w:rPr>
        <w:t>1</w:t>
      </w:r>
      <w:r>
        <w:rPr>
          <w:szCs w:val="20"/>
        </w:rPr>
        <w:t>=O</w:t>
      </w:r>
      <w:r>
        <w:rPr>
          <w:szCs w:val="20"/>
          <w:vertAlign w:val="subscript"/>
        </w:rPr>
        <w:t>2</w:t>
      </w:r>
      <w:r>
        <w:rPr>
          <w:szCs w:val="20"/>
        </w:rPr>
        <w:t xml:space="preserve">=4. Obviously, the </w:t>
      </w:r>
      <w:r>
        <w:rPr>
          <w:rFonts w:hint="eastAsia"/>
          <w:szCs w:val="20"/>
        </w:rPr>
        <w:t>SD basis</w:t>
      </w:r>
      <w:r>
        <w:rPr>
          <w:szCs w:val="20"/>
        </w:rPr>
        <w:t xml:space="preserve"> in the </w:t>
      </w:r>
      <w:r>
        <w:rPr>
          <w:rFonts w:hint="eastAsia"/>
          <w:szCs w:val="20"/>
        </w:rPr>
        <w:t>HSFSD basis</w:t>
      </w:r>
      <w:r>
        <w:rPr>
          <w:szCs w:val="20"/>
        </w:rPr>
        <w:t xml:space="preserve"> region does not have compatible beamforming gain </w:t>
      </w:r>
      <w:r>
        <w:rPr>
          <w:rFonts w:hint="eastAsia"/>
          <w:szCs w:val="20"/>
        </w:rPr>
        <w:t>in contrast</w:t>
      </w:r>
      <w:r>
        <w:rPr>
          <w:szCs w:val="20"/>
        </w:rPr>
        <w:t xml:space="preserve"> with </w:t>
      </w:r>
      <w:r>
        <w:rPr>
          <w:rFonts w:hint="eastAsia"/>
          <w:szCs w:val="20"/>
        </w:rPr>
        <w:t xml:space="preserve">that of </w:t>
      </w:r>
      <w:r>
        <w:rPr>
          <w:szCs w:val="20"/>
        </w:rPr>
        <w:t>the one outside this region. If a</w:t>
      </w:r>
      <w:r>
        <w:rPr>
          <w:rFonts w:hint="eastAsia"/>
          <w:szCs w:val="20"/>
        </w:rPr>
        <w:t>n</w:t>
      </w:r>
      <w:r>
        <w:rPr>
          <w:szCs w:val="20"/>
        </w:rPr>
        <w:t xml:space="preserve"> FFT shift is performed on the codebook, the low spatial-frequency </w:t>
      </w:r>
      <w:r>
        <w:rPr>
          <w:rFonts w:hint="eastAsia"/>
          <w:szCs w:val="20"/>
        </w:rPr>
        <w:t>SD bases</w:t>
      </w:r>
      <w:r>
        <w:rPr>
          <w:szCs w:val="20"/>
        </w:rPr>
        <w:t xml:space="preserve"> form a circ</w:t>
      </w:r>
      <w:r>
        <w:rPr>
          <w:rFonts w:hint="eastAsia"/>
          <w:szCs w:val="20"/>
        </w:rPr>
        <w:t>ular</w:t>
      </w:r>
      <w:r>
        <w:rPr>
          <w:szCs w:val="20"/>
        </w:rPr>
        <w:t xml:space="preserve"> region, which is the same as in [</w:t>
      </w:r>
      <w:r>
        <w:rPr>
          <w:rFonts w:hint="eastAsia"/>
          <w:szCs w:val="20"/>
        </w:rPr>
        <w:t>1-3</w:t>
      </w:r>
      <w:r>
        <w:rPr>
          <w:szCs w:val="20"/>
        </w:rPr>
        <w:t xml:space="preserve">], and the ratio of the </w:t>
      </w:r>
      <w:r>
        <w:rPr>
          <w:rFonts w:hint="eastAsia"/>
          <w:szCs w:val="20"/>
        </w:rPr>
        <w:t>HSFSD basis</w:t>
      </w:r>
      <w:r>
        <w:rPr>
          <w:szCs w:val="20"/>
        </w:rPr>
        <w:t xml:space="preserve"> region to the whole codebook region is 1-π/4 in theory. </w:t>
      </w:r>
      <w:r>
        <w:rPr>
          <w:rFonts w:hint="eastAsia"/>
          <w:szCs w:val="20"/>
        </w:rPr>
        <w:t xml:space="preserve">This unnecessary redundancy will be more obvious with larger </w:t>
      </w:r>
      <w:r>
        <w:rPr>
          <w:szCs w:val="20"/>
        </w:rPr>
        <w:t>N</w:t>
      </w:r>
      <w:r>
        <w:rPr>
          <w:szCs w:val="20"/>
          <w:vertAlign w:val="subscript"/>
        </w:rPr>
        <w:t xml:space="preserve">1, </w:t>
      </w:r>
      <w:r>
        <w:rPr>
          <w:szCs w:val="20"/>
        </w:rPr>
        <w:t>N</w:t>
      </w:r>
      <w:r>
        <w:rPr>
          <w:szCs w:val="20"/>
          <w:vertAlign w:val="subscript"/>
        </w:rPr>
        <w:t xml:space="preserve">2. </w:t>
      </w:r>
      <w:r>
        <w:rPr>
          <w:szCs w:val="20"/>
        </w:rPr>
        <w:t xml:space="preserve">It should be </w:t>
      </w:r>
      <w:r>
        <w:rPr>
          <w:rFonts w:hint="eastAsia"/>
          <w:szCs w:val="20"/>
        </w:rPr>
        <w:t>resolved</w:t>
      </w:r>
      <w:r>
        <w:rPr>
          <w:szCs w:val="20"/>
        </w:rPr>
        <w:t xml:space="preserve"> to reduce the complexity and the overhead of signaling.</w:t>
      </w:r>
      <w:r>
        <w:rPr>
          <w:rFonts w:hint="eastAsia"/>
          <w:szCs w:val="20"/>
        </w:rPr>
        <w:t xml:space="preserve"> In some case, the range of </w:t>
      </w:r>
      <m:oMath>
        <m:r>
          <m:rPr>
            <m:sty m:val="p"/>
          </m:rPr>
          <w:rPr>
            <w:rFonts w:ascii="Cambria Math" w:hAnsi="Cambria Math"/>
            <w:szCs w:val="20"/>
          </w:rPr>
          <m:t>θ</m:t>
        </m:r>
      </m:oMath>
      <w:r>
        <w:rPr>
          <w:szCs w:val="20"/>
        </w:rPr>
        <w:t xml:space="preserve"> may be a subset of </w:t>
      </w:r>
      <m:oMath>
        <m:d>
          <m:dPr>
            <m:begChr m:val="["/>
            <m:endChr m:val="]"/>
            <m:ctrlPr>
              <w:rPr>
                <w:rFonts w:ascii="Cambria Math" w:hAnsi="Cambria Math"/>
                <w:i/>
                <w:szCs w:val="20"/>
              </w:rPr>
            </m:ctrlPr>
          </m:dPr>
          <m:e>
            <m:r>
              <w:rPr>
                <w:rFonts w:ascii="Cambria Math" w:hAnsi="Cambria Math"/>
                <w:szCs w:val="20"/>
              </w:rPr>
              <m:t>0,π/2</m:t>
            </m:r>
          </m:e>
        </m:d>
      </m:oMath>
      <w:r>
        <w:rPr>
          <w:szCs w:val="20"/>
        </w:rPr>
        <w:t xml:space="preserve"> and can be known by the base station in advance according to its average, the equation (4)</w:t>
      </w:r>
      <w:r>
        <w:rPr>
          <w:rFonts w:hint="eastAsia"/>
          <w:szCs w:val="20"/>
        </w:rPr>
        <w:t xml:space="preserve"> can be further replaced with</w:t>
      </w:r>
      <w:r>
        <w:rPr>
          <w:szCs w:val="20"/>
        </w:rPr>
        <w:t xml:space="preserve"> </w:t>
      </w:r>
      <m:oMath>
        <m:sSup>
          <m:sSupPr>
            <m:ctrlPr>
              <w:rPr>
                <w:rFonts w:ascii="Cambria Math" w:hAnsi="Cambria Math"/>
                <w:i/>
                <w:iCs/>
                <w:szCs w:val="20"/>
              </w:rPr>
            </m:ctrlPr>
          </m:sSupPr>
          <m:e>
            <m:r>
              <w:rPr>
                <w:rFonts w:ascii="Cambria Math" w:hAnsi="Cambria Math"/>
                <w:szCs w:val="20"/>
              </w:rPr>
              <m:t>a≤</m:t>
            </m:r>
            <m:d>
              <m:dPr>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2l'</m:t>
                    </m:r>
                  </m:num>
                  <m:den>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den>
                </m:f>
              </m:e>
            </m:d>
          </m:e>
          <m:sup>
            <m:r>
              <w:rPr>
                <w:rFonts w:ascii="Cambria Math" w:hAnsi="Cambria Math"/>
                <w:szCs w:val="20"/>
              </w:rPr>
              <m:t>2</m:t>
            </m:r>
          </m:sup>
        </m:sSup>
        <m:r>
          <w:rPr>
            <w:rFonts w:ascii="Cambria Math" w:hAnsi="Cambria Math"/>
            <w:szCs w:val="20"/>
          </w:rPr>
          <m:t>+</m:t>
        </m:r>
        <m:sSup>
          <m:sSupPr>
            <m:ctrlPr>
              <w:rPr>
                <w:rFonts w:ascii="Cambria Math" w:hAnsi="Cambria Math"/>
                <w:i/>
                <w:iCs/>
                <w:szCs w:val="20"/>
              </w:rPr>
            </m:ctrlPr>
          </m:sSupPr>
          <m:e>
            <m:d>
              <m:dPr>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2m'</m:t>
                    </m:r>
                  </m:num>
                  <m:den>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den>
                </m:f>
              </m:e>
            </m:d>
          </m:e>
          <m:sup>
            <m:r>
              <w:rPr>
                <w:rFonts w:ascii="Cambria Math" w:hAnsi="Cambria Math"/>
                <w:szCs w:val="20"/>
              </w:rPr>
              <m:t>2</m:t>
            </m:r>
          </m:sup>
        </m:sSup>
        <m:r>
          <w:rPr>
            <w:rFonts w:ascii="Cambria Math" w:hAnsi="Cambria Math"/>
            <w:szCs w:val="20"/>
          </w:rPr>
          <m:t>≤b</m:t>
        </m:r>
      </m:oMath>
      <w:r>
        <w:rPr>
          <w:szCs w:val="20"/>
        </w:rPr>
        <w:t>, then more SD bas</w:t>
      </w:r>
      <w:r>
        <w:rPr>
          <w:rFonts w:hint="eastAsia"/>
          <w:szCs w:val="20"/>
        </w:rPr>
        <w:t>es</w:t>
      </w:r>
      <w:r>
        <w:rPr>
          <w:szCs w:val="20"/>
        </w:rPr>
        <w:t xml:space="preserve"> can be deactivated. </w:t>
      </w:r>
    </w:p>
    <w:p w:rsidR="00C65196" w:rsidRDefault="00C65196" w:rsidP="0058572B">
      <w:pPr>
        <w:adjustRightInd w:val="0"/>
        <w:snapToGrid w:val="0"/>
        <w:spacing w:beforeLines="50" w:before="120" w:afterLines="50" w:after="120" w:line="240" w:lineRule="auto"/>
        <w:jc w:val="center"/>
        <w:rPr>
          <w:szCs w:val="20"/>
        </w:rPr>
      </w:pPr>
      <w:r>
        <w:rPr>
          <w:noProof/>
        </w:rPr>
        <w:drawing>
          <wp:inline distT="0" distB="0" distL="114300" distR="114300" wp14:anchorId="60F83CAA" wp14:editId="2E3C38D9">
            <wp:extent cx="5032375" cy="1579880"/>
            <wp:effectExtent l="0" t="0" r="9525"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3"/>
                    <a:stretch>
                      <a:fillRect/>
                    </a:stretch>
                  </pic:blipFill>
                  <pic:spPr>
                    <a:xfrm>
                      <a:off x="0" y="0"/>
                      <a:ext cx="5032375" cy="1579880"/>
                    </a:xfrm>
                    <a:prstGeom prst="rect">
                      <a:avLst/>
                    </a:prstGeom>
                    <a:noFill/>
                    <a:ln>
                      <a:noFill/>
                    </a:ln>
                  </pic:spPr>
                </pic:pic>
              </a:graphicData>
            </a:graphic>
          </wp:inline>
        </w:drawing>
      </w:r>
    </w:p>
    <w:p w:rsidR="00C65196" w:rsidRDefault="00C65196" w:rsidP="00BC54C3">
      <w:pPr>
        <w:adjustRightInd w:val="0"/>
        <w:snapToGrid w:val="0"/>
        <w:spacing w:beforeLines="50" w:before="120" w:afterLines="50" w:after="120" w:line="240" w:lineRule="auto"/>
        <w:jc w:val="center"/>
        <w:rPr>
          <w:szCs w:val="20"/>
        </w:rPr>
      </w:pPr>
      <w:r w:rsidRPr="00BC54C3">
        <w:rPr>
          <w:rFonts w:hint="eastAsia"/>
          <w:b/>
          <w:bCs/>
        </w:rPr>
        <w:t xml:space="preserve">Figure </w:t>
      </w:r>
      <w:r w:rsidRPr="00BC54C3">
        <w:rPr>
          <w:b/>
          <w:bCs/>
        </w:rPr>
        <w:t>19</w:t>
      </w:r>
      <w:r>
        <w:rPr>
          <w:rFonts w:hint="eastAsia"/>
          <w:szCs w:val="20"/>
        </w:rPr>
        <w:t xml:space="preserve"> Typical HSFSD basis region in a codebook with 32x32 beams and the corresponding beam patterns of two SD basis in and outside the HSFSD basis region.</w:t>
      </w:r>
    </w:p>
    <w:p w:rsidR="00C65196" w:rsidRDefault="00C65196" w:rsidP="00BC54C3">
      <w:pPr>
        <w:tabs>
          <w:tab w:val="left" w:pos="420"/>
        </w:tabs>
        <w:snapToGrid w:val="0"/>
        <w:spacing w:beforeLines="50" w:before="120" w:afterLines="50" w:after="120" w:line="300" w:lineRule="auto"/>
        <w:rPr>
          <w:szCs w:val="20"/>
        </w:rPr>
      </w:pPr>
      <w:r>
        <w:rPr>
          <w:rFonts w:hint="eastAsia"/>
          <w:szCs w:val="20"/>
        </w:rPr>
        <w:t xml:space="preserve">Significant overhead reduction can be achieved if the HSFSD basis are excluded in the CBSR signaling, as it is shown in </w:t>
      </w:r>
      <w:r w:rsidRPr="00BC54C3">
        <w:rPr>
          <w:rFonts w:hint="eastAsia"/>
          <w:szCs w:val="20"/>
        </w:rPr>
        <w:t xml:space="preserve">Table </w:t>
      </w:r>
      <w:r w:rsidRPr="00BC54C3">
        <w:rPr>
          <w:szCs w:val="20"/>
        </w:rPr>
        <w:t>2</w:t>
      </w:r>
      <w:r>
        <w:rPr>
          <w:rFonts w:hint="eastAsia"/>
          <w:szCs w:val="20"/>
        </w:rPr>
        <w:t>. Moreover, the restriction of HSFSD bases leads to a speedup for SD basis selection due to the compression of the SD basis space and memory saving at the UE side and base station side.</w:t>
      </w:r>
    </w:p>
    <w:p w:rsidR="00C65196" w:rsidRDefault="00C65196" w:rsidP="00C65196">
      <w:pPr>
        <w:adjustRightInd w:val="0"/>
        <w:snapToGrid w:val="0"/>
        <w:spacing w:beforeLines="50" w:before="120" w:afterLines="50" w:after="120" w:line="240" w:lineRule="auto"/>
        <w:rPr>
          <w:szCs w:val="20"/>
        </w:rPr>
      </w:pPr>
      <w:r>
        <w:rPr>
          <w:rFonts w:hint="eastAsia"/>
          <w:szCs w:val="20"/>
        </w:rPr>
        <w:t xml:space="preserve">The system performance is not degraded with the restriction, according to our simulations which are shown </w:t>
      </w:r>
      <w:r w:rsidR="00813F12">
        <w:rPr>
          <w:szCs w:val="20"/>
        </w:rPr>
        <w:t>in Figure 20 and Figure 21</w:t>
      </w:r>
      <w:r>
        <w:rPr>
          <w:rFonts w:hint="eastAsia"/>
          <w:szCs w:val="20"/>
        </w:rPr>
        <w:t xml:space="preserve">. </w:t>
      </w:r>
    </w:p>
    <w:p w:rsidR="00C65196" w:rsidRDefault="00C65196" w:rsidP="00C65196">
      <w:pPr>
        <w:jc w:val="center"/>
        <w:rPr>
          <w:b/>
          <w:bCs/>
        </w:rPr>
      </w:pPr>
      <w:r>
        <w:rPr>
          <w:b/>
          <w:bCs/>
          <w:color w:val="000000"/>
          <w:szCs w:val="20"/>
        </w:rPr>
        <w:t xml:space="preserve">Table 2 </w:t>
      </w:r>
      <w:r>
        <w:rPr>
          <w:rFonts w:hint="eastAsia"/>
          <w:szCs w:val="20"/>
        </w:rPr>
        <w:t xml:space="preserve">Overhead reduction in </w:t>
      </w:r>
      <w:r>
        <w:rPr>
          <w:szCs w:val="20"/>
        </w:rPr>
        <w:t xml:space="preserve">CBSR signaling  </w:t>
      </w:r>
    </w:p>
    <w:p w:rsidR="00C65196" w:rsidRDefault="00C65196" w:rsidP="00C65196">
      <w:pPr>
        <w:adjustRightInd w:val="0"/>
        <w:snapToGrid w:val="0"/>
        <w:spacing w:beforeLines="50" w:before="120" w:afterLines="50" w:after="120" w:line="240" w:lineRule="auto"/>
        <w:jc w:val="center"/>
        <w:rPr>
          <w:szCs w:val="20"/>
        </w:rPr>
      </w:pPr>
      <w:r>
        <w:rPr>
          <w:szCs w:val="20"/>
        </w:rPr>
        <w:t xml:space="preserve">      </w:t>
      </w:r>
    </w:p>
    <w:tbl>
      <w:tblPr>
        <w:tblW w:w="6685" w:type="dxa"/>
        <w:jc w:val="center"/>
        <w:tblCellSpacing w:w="0" w:type="dxa"/>
        <w:tblCellMar>
          <w:left w:w="0" w:type="dxa"/>
          <w:right w:w="0" w:type="dxa"/>
        </w:tblCellMar>
        <w:tblLook w:val="04A0" w:firstRow="1" w:lastRow="0" w:firstColumn="1" w:lastColumn="0" w:noHBand="0" w:noVBand="1"/>
      </w:tblPr>
      <w:tblGrid>
        <w:gridCol w:w="1680"/>
        <w:gridCol w:w="1137"/>
        <w:gridCol w:w="1236"/>
        <w:gridCol w:w="1316"/>
        <w:gridCol w:w="1316"/>
      </w:tblGrid>
      <w:tr w:rsidR="00C65196" w:rsidTr="00BC54C3">
        <w:trPr>
          <w:trHeight w:val="946"/>
          <w:tblCellSpacing w:w="0" w:type="dxa"/>
          <w:jc w:val="center"/>
        </w:trPr>
        <w:tc>
          <w:tcPr>
            <w:tcW w:w="1680"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szCs w:val="20"/>
              </w:rPr>
              <w:lastRenderedPageBreak/>
              <w:t>Number of ports</w:t>
            </w:r>
          </w:p>
        </w:tc>
        <w:tc>
          <w:tcPr>
            <w:tcW w:w="113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D2139D" w:rsidP="00E12749">
            <w:pPr>
              <w:adjustRightInd w:val="0"/>
              <w:snapToGrid w:val="0"/>
              <w:spacing w:beforeLines="50" w:before="120" w:afterLines="50" w:after="120" w:line="240" w:lineRule="auto"/>
              <w:rPr>
                <w:szCs w:val="20"/>
              </w:rPr>
            </w:pP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oMath>
            <w:r w:rsidR="00C65196">
              <w:rPr>
                <w:szCs w:val="20"/>
              </w:rPr>
              <w:t>,</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oMath>
            <w:r w:rsidR="00C65196">
              <w:rPr>
                <w:szCs w:val="20"/>
              </w:rPr>
              <w:t>)</w:t>
            </w:r>
          </w:p>
        </w:tc>
        <w:tc>
          <w:tcPr>
            <w:tcW w:w="123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Number of bits using Old bitmap</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Number of bits using New bitmap</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rFonts w:hint="eastAsia"/>
                <w:color w:val="000000"/>
                <w:szCs w:val="20"/>
              </w:rPr>
              <w:t>Overhead reduction ratio</w:t>
            </w:r>
          </w:p>
        </w:tc>
      </w:tr>
      <w:tr w:rsidR="00C65196" w:rsidTr="00E12749">
        <w:trPr>
          <w:trHeight w:val="520"/>
          <w:tblCellSpacing w:w="0" w:type="dxa"/>
          <w:jc w:val="center"/>
        </w:trPr>
        <w:tc>
          <w:tcPr>
            <w:tcW w:w="1680" w:type="dxa"/>
            <w:vMerge w:val="restart"/>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48</w:t>
            </w:r>
          </w:p>
        </w:tc>
        <w:tc>
          <w:tcPr>
            <w:tcW w:w="113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(8, 3)</w:t>
            </w:r>
          </w:p>
        </w:tc>
        <w:tc>
          <w:tcPr>
            <w:tcW w:w="123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384</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291</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24.2%</w:t>
            </w:r>
          </w:p>
        </w:tc>
      </w:tr>
      <w:tr w:rsidR="00C65196" w:rsidTr="00E12749">
        <w:trPr>
          <w:trHeight w:val="520"/>
          <w:tblCellSpacing w:w="0" w:type="dxa"/>
          <w:jc w:val="center"/>
        </w:trPr>
        <w:tc>
          <w:tcPr>
            <w:tcW w:w="1680" w:type="dxa"/>
            <w:vMerge/>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p>
        </w:tc>
        <w:tc>
          <w:tcPr>
            <w:tcW w:w="113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(6, 4)</w:t>
            </w:r>
          </w:p>
        </w:tc>
        <w:tc>
          <w:tcPr>
            <w:tcW w:w="123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384</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295</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23.2%</w:t>
            </w:r>
          </w:p>
        </w:tc>
      </w:tr>
      <w:tr w:rsidR="00C65196" w:rsidTr="00E12749">
        <w:trPr>
          <w:trHeight w:val="520"/>
          <w:tblCellSpacing w:w="0" w:type="dxa"/>
          <w:jc w:val="center"/>
        </w:trPr>
        <w:tc>
          <w:tcPr>
            <w:tcW w:w="1680" w:type="dxa"/>
            <w:vMerge w:val="restart"/>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64</w:t>
            </w:r>
          </w:p>
        </w:tc>
        <w:tc>
          <w:tcPr>
            <w:tcW w:w="113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(16, 2)</w:t>
            </w:r>
          </w:p>
        </w:tc>
        <w:tc>
          <w:tcPr>
            <w:tcW w:w="123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512</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383</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25.2%</w:t>
            </w:r>
          </w:p>
        </w:tc>
      </w:tr>
      <w:tr w:rsidR="00C65196" w:rsidTr="00E12749">
        <w:trPr>
          <w:trHeight w:val="520"/>
          <w:tblCellSpacing w:w="0" w:type="dxa"/>
          <w:jc w:val="center"/>
        </w:trPr>
        <w:tc>
          <w:tcPr>
            <w:tcW w:w="1680" w:type="dxa"/>
            <w:vMerge/>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p>
        </w:tc>
        <w:tc>
          <w:tcPr>
            <w:tcW w:w="113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(8, 4)</w:t>
            </w:r>
          </w:p>
        </w:tc>
        <w:tc>
          <w:tcPr>
            <w:tcW w:w="123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512</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391</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23.6%</w:t>
            </w:r>
          </w:p>
        </w:tc>
      </w:tr>
      <w:tr w:rsidR="00C65196" w:rsidTr="00E12749">
        <w:trPr>
          <w:trHeight w:val="520"/>
          <w:tblCellSpacing w:w="0" w:type="dxa"/>
          <w:jc w:val="center"/>
        </w:trPr>
        <w:tc>
          <w:tcPr>
            <w:tcW w:w="1680" w:type="dxa"/>
            <w:vMerge w:val="restart"/>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128</w:t>
            </w:r>
          </w:p>
        </w:tc>
        <w:tc>
          <w:tcPr>
            <w:tcW w:w="113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(16, 4)</w:t>
            </w:r>
          </w:p>
        </w:tc>
        <w:tc>
          <w:tcPr>
            <w:tcW w:w="123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1024</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787</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23.1%</w:t>
            </w:r>
          </w:p>
        </w:tc>
      </w:tr>
      <w:tr w:rsidR="00C65196" w:rsidTr="00E12749">
        <w:trPr>
          <w:trHeight w:val="520"/>
          <w:tblCellSpacing w:w="0" w:type="dxa"/>
          <w:jc w:val="center"/>
        </w:trPr>
        <w:tc>
          <w:tcPr>
            <w:tcW w:w="1680" w:type="dxa"/>
            <w:vMerge/>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p>
        </w:tc>
        <w:tc>
          <w:tcPr>
            <w:tcW w:w="113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(8, 8)</w:t>
            </w:r>
          </w:p>
        </w:tc>
        <w:tc>
          <w:tcPr>
            <w:tcW w:w="123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1024</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795</w:t>
            </w:r>
          </w:p>
        </w:tc>
        <w:tc>
          <w:tcPr>
            <w:tcW w:w="1316"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tcPr>
          <w:p w:rsidR="00C65196" w:rsidRDefault="00C65196" w:rsidP="00E12749">
            <w:pPr>
              <w:adjustRightInd w:val="0"/>
              <w:snapToGrid w:val="0"/>
              <w:spacing w:beforeLines="50" w:before="120" w:afterLines="50" w:after="120" w:line="240" w:lineRule="auto"/>
              <w:rPr>
                <w:szCs w:val="20"/>
              </w:rPr>
            </w:pPr>
            <w:r>
              <w:rPr>
                <w:color w:val="000000"/>
                <w:szCs w:val="20"/>
              </w:rPr>
              <w:t>22.4%</w:t>
            </w:r>
          </w:p>
        </w:tc>
      </w:tr>
    </w:tbl>
    <w:p w:rsidR="00C65196" w:rsidRDefault="00C65196" w:rsidP="00C65196">
      <w:pPr>
        <w:adjustRightInd w:val="0"/>
        <w:snapToGrid w:val="0"/>
        <w:spacing w:beforeLines="50" w:before="120" w:afterLines="50" w:after="120" w:line="240" w:lineRule="auto"/>
        <w:rPr>
          <w:szCs w:val="20"/>
        </w:rPr>
      </w:pPr>
    </w:p>
    <w:p w:rsidR="00813F12" w:rsidRPr="00BC54C3" w:rsidRDefault="00813F12" w:rsidP="00813F12">
      <w:pPr>
        <w:adjustRightInd w:val="0"/>
        <w:snapToGrid w:val="0"/>
        <w:spacing w:beforeLines="50" w:before="120" w:afterLines="50" w:after="120" w:line="240" w:lineRule="auto"/>
        <w:rPr>
          <w:szCs w:val="20"/>
        </w:rPr>
      </w:pPr>
      <w:r w:rsidRPr="00BC54C3">
        <w:rPr>
          <w:noProof/>
        </w:rPr>
        <w:drawing>
          <wp:inline distT="0" distB="0" distL="114300" distR="114300" wp14:anchorId="0B78FEEF" wp14:editId="3BD8CBCD">
            <wp:extent cx="2905125" cy="2123255"/>
            <wp:effectExtent l="0" t="0" r="9525" b="10795"/>
            <wp:docPr id="14"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szCs w:val="20"/>
        </w:rPr>
        <w:t xml:space="preserve"> </w:t>
      </w:r>
      <w:r w:rsidRPr="00BC54C3">
        <w:rPr>
          <w:noProof/>
        </w:rPr>
        <w:drawing>
          <wp:inline distT="0" distB="0" distL="114300" distR="114300" wp14:anchorId="1078DC3E" wp14:editId="07A5E5D8">
            <wp:extent cx="2905125" cy="2123400"/>
            <wp:effectExtent l="0" t="0" r="9525" b="10795"/>
            <wp:docPr id="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813F12" w:rsidRPr="00BC54C3" w:rsidRDefault="00813F12" w:rsidP="00BC54C3">
      <w:pPr>
        <w:adjustRightInd w:val="0"/>
        <w:snapToGrid w:val="0"/>
        <w:spacing w:beforeLines="50" w:before="120" w:afterLines="100" w:after="240" w:line="240" w:lineRule="auto"/>
        <w:jc w:val="center"/>
        <w:rPr>
          <w:szCs w:val="20"/>
        </w:rPr>
      </w:pPr>
      <w:r w:rsidRPr="00BC54C3">
        <w:rPr>
          <w:b/>
          <w:szCs w:val="20"/>
        </w:rPr>
        <w:t>Figure 20</w:t>
      </w:r>
      <w:r>
        <w:rPr>
          <w:szCs w:val="20"/>
        </w:rPr>
        <w:t xml:space="preserve"> </w:t>
      </w:r>
      <w:r w:rsidRPr="00BC54C3">
        <w:rPr>
          <w:szCs w:val="20"/>
        </w:rPr>
        <w:t>SLS simulation result</w:t>
      </w:r>
      <w:r>
        <w:rPr>
          <w:szCs w:val="20"/>
        </w:rPr>
        <w:t>:</w:t>
      </w:r>
      <w:r w:rsidRPr="00BC54C3">
        <w:rPr>
          <w:szCs w:val="20"/>
        </w:rPr>
        <w:t xml:space="preserve"> </w:t>
      </w:r>
      <w:r>
        <w:rPr>
          <w:rFonts w:hint="eastAsia"/>
          <w:szCs w:val="20"/>
        </w:rPr>
        <w:t>5%-</w:t>
      </w:r>
      <w:proofErr w:type="spellStart"/>
      <w:r>
        <w:rPr>
          <w:rFonts w:hint="eastAsia"/>
          <w:szCs w:val="20"/>
        </w:rPr>
        <w:t>ile</w:t>
      </w:r>
      <w:proofErr w:type="spellEnd"/>
      <w:r>
        <w:rPr>
          <w:szCs w:val="20"/>
        </w:rPr>
        <w:t xml:space="preserve"> and</w:t>
      </w:r>
      <w:r>
        <w:rPr>
          <w:rFonts w:hint="eastAsia"/>
          <w:szCs w:val="20"/>
        </w:rPr>
        <w:t xml:space="preserve"> </w:t>
      </w:r>
      <w:r w:rsidRPr="00BC54C3">
        <w:rPr>
          <w:szCs w:val="20"/>
        </w:rPr>
        <w:t xml:space="preserve">average </w:t>
      </w:r>
      <w:r>
        <w:rPr>
          <w:szCs w:val="20"/>
        </w:rPr>
        <w:t xml:space="preserve">UPT in </w:t>
      </w:r>
      <w:proofErr w:type="spellStart"/>
      <w:r>
        <w:rPr>
          <w:szCs w:val="20"/>
        </w:rPr>
        <w:t>e</w:t>
      </w:r>
      <w:r>
        <w:rPr>
          <w:rFonts w:hint="eastAsia"/>
          <w:szCs w:val="20"/>
        </w:rPr>
        <w:t>Type</w:t>
      </w:r>
      <w:proofErr w:type="spellEnd"/>
      <w:r>
        <w:rPr>
          <w:rFonts w:hint="eastAsia"/>
          <w:szCs w:val="20"/>
        </w:rPr>
        <w:t xml:space="preserve"> II</w:t>
      </w:r>
      <w:r w:rsidRPr="00BC54C3">
        <w:rPr>
          <w:szCs w:val="20"/>
        </w:rPr>
        <w:t xml:space="preserve">    </w:t>
      </w:r>
    </w:p>
    <w:p w:rsidR="00813F12" w:rsidRDefault="00813F12" w:rsidP="00813F12">
      <w:pPr>
        <w:numPr>
          <w:ilvl w:val="255"/>
          <w:numId w:val="0"/>
        </w:numPr>
        <w:adjustRightInd w:val="0"/>
        <w:snapToGrid w:val="0"/>
        <w:spacing w:beforeLines="50" w:before="120" w:afterLines="50" w:after="120" w:line="240" w:lineRule="auto"/>
      </w:pPr>
      <w:r>
        <w:rPr>
          <w:noProof/>
        </w:rPr>
        <w:drawing>
          <wp:inline distT="0" distB="0" distL="114300" distR="114300" wp14:anchorId="022F6A5A" wp14:editId="700FBEB7">
            <wp:extent cx="2905125" cy="2187575"/>
            <wp:effectExtent l="0" t="0" r="9525" b="3175"/>
            <wp:docPr id="18"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t xml:space="preserve"> </w:t>
      </w:r>
      <w:r>
        <w:rPr>
          <w:noProof/>
        </w:rPr>
        <w:drawing>
          <wp:inline distT="0" distB="0" distL="114300" distR="114300" wp14:anchorId="70267513" wp14:editId="0E663B03">
            <wp:extent cx="2893550" cy="2180590"/>
            <wp:effectExtent l="0" t="0" r="2540" b="10160"/>
            <wp:docPr id="22"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813F12" w:rsidRDefault="00813F12" w:rsidP="00BC54C3">
      <w:pPr>
        <w:adjustRightInd w:val="0"/>
        <w:snapToGrid w:val="0"/>
        <w:spacing w:beforeLines="50" w:before="120" w:afterLines="50" w:after="120" w:line="240" w:lineRule="auto"/>
        <w:jc w:val="center"/>
        <w:rPr>
          <w:szCs w:val="20"/>
        </w:rPr>
      </w:pPr>
      <w:r w:rsidRPr="00E74DA2">
        <w:rPr>
          <w:b/>
          <w:szCs w:val="20"/>
        </w:rPr>
        <w:t>Figure 2</w:t>
      </w:r>
      <w:r>
        <w:rPr>
          <w:b/>
          <w:szCs w:val="20"/>
        </w:rPr>
        <w:t>1</w:t>
      </w:r>
      <w:r>
        <w:rPr>
          <w:szCs w:val="20"/>
        </w:rPr>
        <w:t xml:space="preserve"> </w:t>
      </w:r>
      <w:r w:rsidRPr="00E74DA2">
        <w:rPr>
          <w:szCs w:val="20"/>
        </w:rPr>
        <w:t>SLS simulation result</w:t>
      </w:r>
      <w:r>
        <w:rPr>
          <w:szCs w:val="20"/>
        </w:rPr>
        <w:t>:</w:t>
      </w:r>
      <w:r w:rsidRPr="00E74DA2">
        <w:rPr>
          <w:szCs w:val="20"/>
        </w:rPr>
        <w:t xml:space="preserve"> </w:t>
      </w:r>
      <w:r>
        <w:rPr>
          <w:rFonts w:hint="eastAsia"/>
          <w:szCs w:val="20"/>
        </w:rPr>
        <w:t>5%-</w:t>
      </w:r>
      <w:proofErr w:type="spellStart"/>
      <w:r>
        <w:rPr>
          <w:rFonts w:hint="eastAsia"/>
          <w:szCs w:val="20"/>
        </w:rPr>
        <w:t>ile</w:t>
      </w:r>
      <w:proofErr w:type="spellEnd"/>
      <w:r>
        <w:rPr>
          <w:szCs w:val="20"/>
        </w:rPr>
        <w:t xml:space="preserve"> and</w:t>
      </w:r>
      <w:r>
        <w:rPr>
          <w:rFonts w:hint="eastAsia"/>
          <w:szCs w:val="20"/>
        </w:rPr>
        <w:t xml:space="preserve"> </w:t>
      </w:r>
      <w:r w:rsidRPr="00E74DA2">
        <w:rPr>
          <w:szCs w:val="20"/>
        </w:rPr>
        <w:t xml:space="preserve">average </w:t>
      </w:r>
      <w:r>
        <w:rPr>
          <w:szCs w:val="20"/>
        </w:rPr>
        <w:t xml:space="preserve">UPT in </w:t>
      </w:r>
      <w:r>
        <w:rPr>
          <w:rFonts w:hint="eastAsia"/>
          <w:szCs w:val="20"/>
        </w:rPr>
        <w:t>Type I</w:t>
      </w:r>
    </w:p>
    <w:p w:rsidR="00813F12" w:rsidRDefault="00813F12" w:rsidP="00C65196">
      <w:pPr>
        <w:adjustRightInd w:val="0"/>
        <w:snapToGrid w:val="0"/>
        <w:spacing w:beforeLines="50" w:before="120" w:afterLines="50" w:after="120" w:line="240" w:lineRule="auto"/>
        <w:rPr>
          <w:szCs w:val="20"/>
        </w:rPr>
      </w:pPr>
    </w:p>
    <w:p w:rsidR="009B70BD" w:rsidRDefault="0051047F">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lastRenderedPageBreak/>
        <w:t>Conclusion</w:t>
      </w:r>
    </w:p>
    <w:p w:rsidR="009B70BD" w:rsidRDefault="0051047F">
      <w:pPr>
        <w:snapToGrid w:val="0"/>
        <w:spacing w:beforeLines="50" w:before="120" w:afterLines="50" w:after="120" w:line="300" w:lineRule="auto"/>
        <w:rPr>
          <w:bCs/>
          <w:iCs/>
          <w:szCs w:val="20"/>
        </w:rPr>
      </w:pPr>
      <w:r>
        <w:rPr>
          <w:rFonts w:hint="eastAsia"/>
          <w:bCs/>
          <w:iCs/>
          <w:szCs w:val="20"/>
        </w:rPr>
        <w:t>In summary, we have the following observations and proposals for CSI enhancement for up to 128 CSI-RS ports on FR1:</w:t>
      </w:r>
    </w:p>
    <w:p w:rsidR="00AE00DE" w:rsidRDefault="00AE00DE" w:rsidP="001F267F">
      <w:pPr>
        <w:snapToGrid w:val="0"/>
        <w:spacing w:beforeLines="30" w:before="72" w:afterLines="30" w:after="72" w:line="300" w:lineRule="auto"/>
        <w:textAlignment w:val="center"/>
        <w:rPr>
          <w:bCs/>
          <w:i/>
          <w:iCs/>
        </w:rPr>
      </w:pPr>
      <w:r>
        <w:rPr>
          <w:rFonts w:hint="eastAsia"/>
          <w:b/>
          <w:i/>
        </w:rPr>
        <w:t>O</w:t>
      </w:r>
      <w:r>
        <w:rPr>
          <w:b/>
          <w:i/>
        </w:rPr>
        <w:t xml:space="preserve">bservation 1: </w:t>
      </w:r>
      <w:r>
        <w:rPr>
          <w:i/>
        </w:rPr>
        <w:t xml:space="preserve">When the number of antenna port P &gt; 32, </w:t>
      </w:r>
      <w:r>
        <w:rPr>
          <w:rFonts w:hint="eastAsia"/>
          <w:bCs/>
          <w:i/>
          <w:iCs/>
        </w:rPr>
        <w:t>(O</w:t>
      </w:r>
      <w:r>
        <w:rPr>
          <w:bCs/>
          <w:i/>
          <w:iCs/>
          <w:vertAlign w:val="subscript"/>
        </w:rPr>
        <w:t>1</w:t>
      </w:r>
      <w:r>
        <w:rPr>
          <w:rFonts w:hint="eastAsia"/>
          <w:bCs/>
          <w:i/>
          <w:iCs/>
        </w:rPr>
        <w:t>, O</w:t>
      </w:r>
      <w:r>
        <w:rPr>
          <w:bCs/>
          <w:i/>
          <w:iCs/>
          <w:vertAlign w:val="subscript"/>
        </w:rPr>
        <w:t>2</w:t>
      </w:r>
      <w:r>
        <w:rPr>
          <w:rFonts w:hint="eastAsia"/>
          <w:bCs/>
          <w:i/>
          <w:iCs/>
        </w:rPr>
        <w:t>) = (2, 2)</w:t>
      </w:r>
      <w:r>
        <w:rPr>
          <w:bCs/>
          <w:i/>
          <w:iCs/>
        </w:rPr>
        <w:t xml:space="preserve"> can provide similar performance as </w:t>
      </w:r>
      <w:r>
        <w:rPr>
          <w:rFonts w:hint="eastAsia"/>
          <w:bCs/>
          <w:i/>
          <w:iCs/>
        </w:rPr>
        <w:t>(O</w:t>
      </w:r>
      <w:r>
        <w:rPr>
          <w:bCs/>
          <w:i/>
          <w:iCs/>
          <w:vertAlign w:val="subscript"/>
        </w:rPr>
        <w:t>1</w:t>
      </w:r>
      <w:r>
        <w:rPr>
          <w:rFonts w:hint="eastAsia"/>
          <w:bCs/>
          <w:i/>
          <w:iCs/>
        </w:rPr>
        <w:t>, O</w:t>
      </w:r>
      <w:r>
        <w:rPr>
          <w:bCs/>
          <w:iCs/>
          <w:vertAlign w:val="subscript"/>
        </w:rPr>
        <w:t>2</w:t>
      </w:r>
      <w:r>
        <w:rPr>
          <w:rFonts w:hint="eastAsia"/>
          <w:bCs/>
          <w:i/>
          <w:iCs/>
        </w:rPr>
        <w:t>) = (</w:t>
      </w:r>
      <w:r>
        <w:rPr>
          <w:bCs/>
          <w:i/>
          <w:iCs/>
        </w:rPr>
        <w:t>4</w:t>
      </w:r>
      <w:r>
        <w:rPr>
          <w:rFonts w:hint="eastAsia"/>
          <w:bCs/>
          <w:i/>
          <w:iCs/>
        </w:rPr>
        <w:t xml:space="preserve">, </w:t>
      </w:r>
      <w:r>
        <w:rPr>
          <w:bCs/>
          <w:i/>
          <w:iCs/>
        </w:rPr>
        <w:t>4</w:t>
      </w:r>
      <w:r>
        <w:rPr>
          <w:rFonts w:hint="eastAsia"/>
          <w:bCs/>
          <w:i/>
          <w:iCs/>
        </w:rPr>
        <w:t>)</w:t>
      </w:r>
      <w:r>
        <w:rPr>
          <w:bCs/>
          <w:i/>
          <w:iCs/>
        </w:rPr>
        <w:t xml:space="preserve">, but with lower reporting overhead and </w:t>
      </w:r>
      <w:r w:rsidR="00F41EBF">
        <w:rPr>
          <w:bCs/>
          <w:i/>
          <w:iCs/>
        </w:rPr>
        <w:t xml:space="preserve">significant </w:t>
      </w:r>
      <w:r>
        <w:rPr>
          <w:bCs/>
          <w:i/>
          <w:iCs/>
        </w:rPr>
        <w:t>implementation complexity</w:t>
      </w:r>
      <w:r w:rsidR="00F41EBF">
        <w:rPr>
          <w:bCs/>
          <w:i/>
          <w:iCs/>
        </w:rPr>
        <w:t xml:space="preserve"> reduction</w:t>
      </w:r>
      <w:r>
        <w:rPr>
          <w:bCs/>
          <w:i/>
          <w:iCs/>
        </w:rPr>
        <w:t>.</w:t>
      </w:r>
    </w:p>
    <w:p w:rsidR="00AE00DE" w:rsidRDefault="00AE00DE" w:rsidP="00AE00DE">
      <w:pPr>
        <w:snapToGrid w:val="0"/>
        <w:spacing w:beforeLines="50" w:before="120" w:afterLines="50" w:after="120" w:line="300" w:lineRule="auto"/>
        <w:rPr>
          <w:bCs/>
          <w:i/>
          <w:iCs/>
          <w:kern w:val="2"/>
          <w:szCs w:val="20"/>
        </w:rPr>
      </w:pPr>
      <w:r>
        <w:rPr>
          <w:rFonts w:hint="eastAsia"/>
          <w:b/>
          <w:i/>
          <w:iCs/>
          <w:kern w:val="2"/>
          <w:szCs w:val="20"/>
        </w:rPr>
        <w:t xml:space="preserve">Observation </w:t>
      </w:r>
      <w:r>
        <w:rPr>
          <w:b/>
          <w:i/>
          <w:iCs/>
          <w:kern w:val="2"/>
          <w:szCs w:val="20"/>
        </w:rPr>
        <w:t>2</w:t>
      </w:r>
      <w:r>
        <w:rPr>
          <w:rFonts w:hint="eastAsia"/>
          <w:b/>
          <w:i/>
          <w:iCs/>
          <w:kern w:val="2"/>
          <w:szCs w:val="20"/>
        </w:rPr>
        <w:t>:</w:t>
      </w:r>
      <w:r>
        <w:rPr>
          <w:rFonts w:hint="eastAsia"/>
          <w:bCs/>
          <w:i/>
          <w:iCs/>
          <w:kern w:val="2"/>
          <w:szCs w:val="20"/>
        </w:rPr>
        <w:t xml:space="preserve"> </w:t>
      </w:r>
      <w:r>
        <w:rPr>
          <w:bCs/>
          <w:i/>
          <w:iCs/>
          <w:kern w:val="2"/>
          <w:szCs w:val="20"/>
        </w:rPr>
        <w:t>It is observed from the SLS results that:</w:t>
      </w:r>
    </w:p>
    <w:p w:rsidR="00AE00DE" w:rsidRPr="007404A8" w:rsidRDefault="00AE00DE" w:rsidP="00AE00DE">
      <w:pPr>
        <w:numPr>
          <w:ilvl w:val="0"/>
          <w:numId w:val="13"/>
        </w:numPr>
        <w:snapToGrid w:val="0"/>
        <w:spacing w:beforeLines="50" w:before="120" w:afterLines="50" w:after="120" w:line="300" w:lineRule="auto"/>
        <w:rPr>
          <w:i/>
          <w:iCs/>
        </w:rPr>
      </w:pPr>
      <w:r>
        <w:rPr>
          <w:rFonts w:hint="eastAsia"/>
          <w:i/>
          <w:iCs/>
        </w:rPr>
        <w:t xml:space="preserve">Compared to </w:t>
      </w:r>
      <w:r>
        <w:rPr>
          <w:i/>
          <w:iCs/>
        </w:rPr>
        <w:t>scheme 1</w:t>
      </w:r>
      <w:r>
        <w:rPr>
          <w:rFonts w:hint="eastAsia"/>
          <w:i/>
          <w:iCs/>
        </w:rPr>
        <w:t xml:space="preserve">, </w:t>
      </w:r>
      <w:r>
        <w:rPr>
          <w:i/>
          <w:iCs/>
        </w:rPr>
        <w:t>scheme 2 with M = 2 (BPSK) shows worse performance, but scheme 2 with M = 4 (QPSK) shows significantly better performance;</w:t>
      </w:r>
    </w:p>
    <w:p w:rsidR="00AE00DE" w:rsidRDefault="00AE00DE" w:rsidP="002A74A3">
      <w:pPr>
        <w:numPr>
          <w:ilvl w:val="0"/>
          <w:numId w:val="13"/>
        </w:numPr>
        <w:snapToGrid w:val="0"/>
        <w:spacing w:beforeLines="50" w:before="120" w:afterLines="50" w:after="120" w:line="300" w:lineRule="auto"/>
        <w:rPr>
          <w:bCs/>
          <w:i/>
          <w:iCs/>
        </w:rPr>
      </w:pPr>
      <w:r>
        <w:rPr>
          <w:rFonts w:hint="eastAsia"/>
          <w:bCs/>
          <w:i/>
          <w:iCs/>
          <w:kern w:val="2"/>
          <w:szCs w:val="20"/>
        </w:rPr>
        <w:t xml:space="preserve">Subband SD basis selection </w:t>
      </w:r>
      <w:r>
        <w:rPr>
          <w:bCs/>
          <w:i/>
          <w:iCs/>
          <w:kern w:val="2"/>
          <w:szCs w:val="20"/>
        </w:rPr>
        <w:t>provides additional performance gain for scheme 2.</w:t>
      </w:r>
    </w:p>
    <w:p w:rsidR="00AE00DE" w:rsidRDefault="00AE00DE" w:rsidP="001F267F">
      <w:pPr>
        <w:snapToGrid w:val="0"/>
        <w:spacing w:beforeLines="30" w:before="72" w:afterLines="30" w:after="72" w:line="300" w:lineRule="auto"/>
        <w:textAlignment w:val="center"/>
        <w:rPr>
          <w:bCs/>
          <w:i/>
          <w:iCs/>
        </w:rPr>
      </w:pPr>
      <w:r>
        <w:rPr>
          <w:rFonts w:hint="eastAsia"/>
          <w:b/>
          <w:bCs/>
          <w:i/>
          <w:iCs/>
        </w:rPr>
        <w:t xml:space="preserve">Observation </w:t>
      </w:r>
      <w:r>
        <w:rPr>
          <w:b/>
          <w:bCs/>
          <w:i/>
          <w:iCs/>
        </w:rPr>
        <w:t>3</w:t>
      </w:r>
      <w:r>
        <w:rPr>
          <w:rFonts w:hint="eastAsia"/>
          <w:b/>
          <w:bCs/>
          <w:i/>
          <w:iCs/>
        </w:rPr>
        <w:t>:</w:t>
      </w:r>
      <w:r>
        <w:rPr>
          <w:rFonts w:hint="eastAsia"/>
          <w:i/>
          <w:iCs/>
        </w:rPr>
        <w:t xml:space="preserve"> In MU-MIMO scenario, </w:t>
      </w:r>
      <w:r>
        <w:rPr>
          <w:i/>
          <w:iCs/>
        </w:rPr>
        <w:t>scheme 3</w:t>
      </w:r>
      <w:r>
        <w:rPr>
          <w:rFonts w:hint="eastAsia"/>
          <w:i/>
          <w:iCs/>
        </w:rPr>
        <w:t xml:space="preserve"> can provide huge throughput gain for cell-edge UEs and significant throughput gain in average compared to Type-I codebook.</w:t>
      </w:r>
    </w:p>
    <w:p w:rsidR="00AE00DE" w:rsidRDefault="00AE00DE">
      <w:pPr>
        <w:snapToGrid w:val="0"/>
        <w:spacing w:beforeLines="30" w:before="72" w:afterLines="30" w:after="72" w:line="300" w:lineRule="auto"/>
        <w:rPr>
          <w:i/>
          <w:iCs/>
        </w:rPr>
      </w:pPr>
      <w:r>
        <w:rPr>
          <w:rFonts w:hint="eastAsia"/>
          <w:b/>
          <w:i/>
          <w:iCs/>
          <w:kern w:val="2"/>
          <w:szCs w:val="20"/>
        </w:rPr>
        <w:t xml:space="preserve">Observation </w:t>
      </w:r>
      <w:r>
        <w:rPr>
          <w:b/>
          <w:i/>
          <w:iCs/>
          <w:kern w:val="2"/>
          <w:szCs w:val="20"/>
        </w:rPr>
        <w:t>4</w:t>
      </w:r>
      <w:r>
        <w:rPr>
          <w:rFonts w:hint="eastAsia"/>
          <w:b/>
          <w:i/>
          <w:iCs/>
          <w:kern w:val="2"/>
          <w:szCs w:val="20"/>
        </w:rPr>
        <w:t>:</w:t>
      </w:r>
      <w:r>
        <w:rPr>
          <w:rFonts w:hint="eastAsia"/>
          <w:bCs/>
          <w:i/>
          <w:iCs/>
          <w:kern w:val="2"/>
          <w:szCs w:val="20"/>
        </w:rPr>
        <w:t xml:space="preserve"> In SU-MIMO scenario,</w:t>
      </w:r>
      <w:r>
        <w:rPr>
          <w:bCs/>
          <w:i/>
          <w:iCs/>
          <w:kern w:val="2"/>
          <w:szCs w:val="20"/>
        </w:rPr>
        <w:t xml:space="preserve"> when the maximum RI = 8,</w:t>
      </w:r>
      <w:r>
        <w:rPr>
          <w:rFonts w:hint="eastAsia"/>
          <w:bCs/>
          <w:i/>
          <w:iCs/>
          <w:kern w:val="2"/>
          <w:szCs w:val="20"/>
        </w:rPr>
        <w:t xml:space="preserve"> </w:t>
      </w:r>
      <w:r>
        <w:rPr>
          <w:bCs/>
          <w:i/>
          <w:iCs/>
          <w:kern w:val="2"/>
          <w:szCs w:val="20"/>
        </w:rPr>
        <w:t>t</w:t>
      </w:r>
      <w:r>
        <w:rPr>
          <w:rFonts w:hint="eastAsia"/>
          <w:i/>
          <w:iCs/>
        </w:rPr>
        <w:t xml:space="preserve">he </w:t>
      </w:r>
      <w:r>
        <w:rPr>
          <w:rFonts w:hint="eastAsia"/>
          <w:bCs/>
          <w:i/>
          <w:iCs/>
          <w:kern w:val="2"/>
          <w:szCs w:val="20"/>
        </w:rPr>
        <w:t xml:space="preserve">enhanced </w:t>
      </w:r>
      <w:r>
        <w:rPr>
          <w:rFonts w:hint="eastAsia"/>
          <w:i/>
          <w:iCs/>
        </w:rPr>
        <w:t>Type-I (</w:t>
      </w:r>
      <w:r>
        <w:rPr>
          <w:rFonts w:hint="eastAsia"/>
          <w:bCs/>
          <w:i/>
          <w:iCs/>
          <w:kern w:val="2"/>
          <w:szCs w:val="20"/>
        </w:rPr>
        <w:t>SD</w:t>
      </w:r>
      <w:r>
        <w:rPr>
          <w:rFonts w:hint="eastAsia"/>
          <w:i/>
          <w:iCs/>
        </w:rPr>
        <w:t xml:space="preserve"> basis independent selection and multiplexing)</w:t>
      </w:r>
      <w:r w:rsidR="004E45AC">
        <w:rPr>
          <w:i/>
          <w:iCs/>
        </w:rPr>
        <w:t xml:space="preserve"> codebook</w:t>
      </w:r>
      <w:r>
        <w:rPr>
          <w:rFonts w:hint="eastAsia"/>
          <w:i/>
          <w:iCs/>
        </w:rPr>
        <w:t xml:space="preserve"> provides significant gain compared to </w:t>
      </w:r>
      <w:r>
        <w:rPr>
          <w:rFonts w:hint="eastAsia"/>
          <w:bCs/>
          <w:i/>
          <w:iCs/>
          <w:kern w:val="2"/>
          <w:szCs w:val="20"/>
        </w:rPr>
        <w:t>Type-I codebook</w:t>
      </w:r>
      <w:r>
        <w:rPr>
          <w:rFonts w:hint="eastAsia"/>
          <w:i/>
          <w:iCs/>
        </w:rPr>
        <w:t>.</w:t>
      </w:r>
    </w:p>
    <w:p w:rsidR="00AE00DE" w:rsidRDefault="00AE00DE" w:rsidP="00AE00DE">
      <w:pPr>
        <w:tabs>
          <w:tab w:val="left" w:pos="420"/>
        </w:tabs>
        <w:snapToGrid w:val="0"/>
        <w:spacing w:beforeLines="50" w:before="120" w:afterLines="50" w:after="120" w:line="300" w:lineRule="auto"/>
        <w:rPr>
          <w:i/>
          <w:iCs/>
        </w:rPr>
      </w:pPr>
      <w:r>
        <w:rPr>
          <w:rFonts w:hint="eastAsia"/>
          <w:b/>
          <w:bCs/>
          <w:i/>
          <w:iCs/>
        </w:rPr>
        <w:t xml:space="preserve">Observation </w:t>
      </w:r>
      <w:r>
        <w:rPr>
          <w:b/>
          <w:bCs/>
          <w:i/>
          <w:iCs/>
        </w:rPr>
        <w:t>5</w:t>
      </w:r>
      <w:r>
        <w:rPr>
          <w:rFonts w:hint="eastAsia"/>
          <w:b/>
          <w:bCs/>
          <w:i/>
          <w:iCs/>
        </w:rPr>
        <w:t xml:space="preserve">: </w:t>
      </w:r>
      <w:r>
        <w:rPr>
          <w:i/>
          <w:iCs/>
        </w:rPr>
        <w:t>Across different CRIs, high correlation is observed for the following Typ</w:t>
      </w:r>
      <w:r>
        <w:rPr>
          <w:rFonts w:hint="eastAsia"/>
          <w:i/>
          <w:iCs/>
        </w:rPr>
        <w:t>e</w:t>
      </w:r>
      <w:r>
        <w:rPr>
          <w:i/>
          <w:iCs/>
        </w:rPr>
        <w:t>-I/Type-II codebook parameters:</w:t>
      </w:r>
    </w:p>
    <w:p w:rsidR="00AE00DE" w:rsidRDefault="00AE00DE" w:rsidP="00AE00DE">
      <w:pPr>
        <w:numPr>
          <w:ilvl w:val="0"/>
          <w:numId w:val="13"/>
        </w:numPr>
        <w:snapToGrid w:val="0"/>
        <w:spacing w:beforeLines="50" w:before="120" w:afterLines="50" w:after="120" w:line="300" w:lineRule="auto"/>
        <w:rPr>
          <w:i/>
          <w:iCs/>
          <w:color w:val="000000"/>
        </w:rPr>
      </w:pPr>
      <w:r>
        <w:rPr>
          <w:rFonts w:hint="eastAsia"/>
          <w:i/>
          <w:iCs/>
          <w:color w:val="000000"/>
        </w:rPr>
        <w:t>i</w:t>
      </w:r>
      <w:r w:rsidRPr="002A74A3">
        <w:rPr>
          <w:i/>
          <w:iCs/>
          <w:color w:val="000000"/>
        </w:rPr>
        <w:t>1,1</w:t>
      </w:r>
      <w:r>
        <w:rPr>
          <w:i/>
          <w:iCs/>
          <w:color w:val="000000"/>
        </w:rPr>
        <w:t xml:space="preserve"> and i</w:t>
      </w:r>
      <w:r w:rsidRPr="002A74A3">
        <w:rPr>
          <w:i/>
          <w:iCs/>
          <w:color w:val="000000"/>
        </w:rPr>
        <w:t>1,2</w:t>
      </w:r>
      <w:r>
        <w:rPr>
          <w:i/>
          <w:iCs/>
          <w:color w:val="000000"/>
        </w:rPr>
        <w:t xml:space="preserve"> for Type-I codebook;</w:t>
      </w:r>
    </w:p>
    <w:p w:rsidR="00AE00DE" w:rsidRDefault="00AE00DE" w:rsidP="002A74A3">
      <w:pPr>
        <w:numPr>
          <w:ilvl w:val="0"/>
          <w:numId w:val="13"/>
        </w:numPr>
        <w:snapToGrid w:val="0"/>
        <w:spacing w:beforeLines="50" w:before="120" w:afterLines="50" w:after="120" w:line="300" w:lineRule="auto"/>
        <w:rPr>
          <w:bCs/>
          <w:i/>
        </w:rPr>
      </w:pPr>
      <w:r>
        <w:rPr>
          <w:rFonts w:hint="eastAsia"/>
          <w:i/>
          <w:iCs/>
          <w:color w:val="000000"/>
        </w:rPr>
        <w:t>S</w:t>
      </w:r>
      <w:r>
        <w:rPr>
          <w:i/>
          <w:iCs/>
          <w:color w:val="000000"/>
        </w:rPr>
        <w:t>D/FD bases for Type-</w:t>
      </w:r>
      <w:r>
        <w:rPr>
          <w:rFonts w:hint="eastAsia"/>
          <w:i/>
          <w:iCs/>
          <w:color w:val="000000"/>
        </w:rPr>
        <w:t>II</w:t>
      </w:r>
      <w:r>
        <w:rPr>
          <w:i/>
          <w:iCs/>
          <w:color w:val="000000"/>
        </w:rPr>
        <w:t xml:space="preserve"> codebook.</w:t>
      </w:r>
    </w:p>
    <w:p w:rsidR="001F267F" w:rsidRDefault="001F267F" w:rsidP="001F267F">
      <w:pPr>
        <w:snapToGrid w:val="0"/>
        <w:spacing w:beforeLines="30" w:before="72" w:afterLines="30" w:after="72" w:line="300" w:lineRule="auto"/>
        <w:textAlignment w:val="center"/>
        <w:rPr>
          <w:bCs/>
          <w:i/>
        </w:rPr>
      </w:pPr>
      <w:r>
        <w:rPr>
          <w:b/>
          <w:i/>
        </w:rPr>
        <w:t>Proposal 1</w:t>
      </w:r>
      <w:r>
        <w:rPr>
          <w:rFonts w:hint="eastAsia"/>
          <w:b/>
          <w:i/>
        </w:rPr>
        <w:t xml:space="preserve">: </w:t>
      </w:r>
      <w:r>
        <w:rPr>
          <w:rFonts w:hint="eastAsia"/>
          <w:bCs/>
          <w:i/>
        </w:rPr>
        <w:t xml:space="preserve">Regarding Rel-19 Type-I and Type-II codebook refinement, </w:t>
      </w:r>
      <w:r>
        <w:rPr>
          <w:bCs/>
          <w:i/>
        </w:rPr>
        <w:t>support the following port mapping scheme to facilitate the co-existence of Rel-19 and legacy UEs:</w:t>
      </w:r>
    </w:p>
    <w:p w:rsidR="001F267F" w:rsidRDefault="001F267F" w:rsidP="001F267F">
      <w:pPr>
        <w:numPr>
          <w:ilvl w:val="0"/>
          <w:numId w:val="13"/>
        </w:numPr>
        <w:snapToGrid w:val="0"/>
        <w:spacing w:beforeLines="50" w:before="120" w:afterLines="50" w:after="120" w:line="300" w:lineRule="auto"/>
        <w:rPr>
          <w:bCs/>
          <w:kern w:val="2"/>
          <w:szCs w:val="20"/>
        </w:rPr>
      </w:pPr>
      <w:r>
        <w:rPr>
          <w:rFonts w:hAnsi="Cambria Math"/>
          <w:i/>
        </w:rPr>
        <w:t>For each of the K CMRs, half of antenna ports are mapped to the first polarization, the other half of antenna ports are mapped to the second polarization;</w:t>
      </w:r>
    </w:p>
    <w:p w:rsidR="001F267F" w:rsidRDefault="001F267F" w:rsidP="001F267F">
      <w:pPr>
        <w:numPr>
          <w:ilvl w:val="0"/>
          <w:numId w:val="13"/>
        </w:numPr>
        <w:snapToGrid w:val="0"/>
        <w:spacing w:beforeLines="50" w:before="120" w:afterLines="50" w:after="120" w:line="300" w:lineRule="auto"/>
        <w:rPr>
          <w:bCs/>
          <w:kern w:val="2"/>
          <w:szCs w:val="20"/>
        </w:rPr>
      </w:pPr>
      <w:r>
        <w:rPr>
          <w:rFonts w:hAnsi="Cambria Math"/>
          <w:i/>
        </w:rPr>
        <w:t>The K CMRs are aggregated along the N</w:t>
      </w:r>
      <w:r>
        <w:rPr>
          <w:rFonts w:hAnsi="Cambria Math"/>
          <w:i/>
          <w:vertAlign w:val="subscript"/>
        </w:rPr>
        <w:t>2</w:t>
      </w:r>
      <w:r>
        <w:rPr>
          <w:rFonts w:hAnsi="Cambria Math"/>
          <w:i/>
        </w:rPr>
        <w:t xml:space="preserve"> direction.</w:t>
      </w:r>
    </w:p>
    <w:p w:rsidR="001F267F" w:rsidRDefault="001F267F" w:rsidP="001F267F">
      <w:pPr>
        <w:tabs>
          <w:tab w:val="left" w:pos="420"/>
        </w:tabs>
        <w:snapToGrid w:val="0"/>
        <w:spacing w:beforeLines="50" w:before="120" w:afterLines="50" w:after="120" w:line="300" w:lineRule="auto"/>
        <w:rPr>
          <w:bCs/>
          <w:i/>
          <w:iCs/>
        </w:rPr>
      </w:pPr>
      <w:r>
        <w:rPr>
          <w:rFonts w:hint="eastAsia"/>
          <w:b/>
          <w:i/>
          <w:iCs/>
          <w:kern w:val="2"/>
          <w:szCs w:val="20"/>
        </w:rPr>
        <w:t xml:space="preserve">Proposal </w:t>
      </w:r>
      <w:r>
        <w:rPr>
          <w:b/>
          <w:i/>
          <w:iCs/>
          <w:kern w:val="2"/>
          <w:szCs w:val="20"/>
        </w:rPr>
        <w:t>2</w:t>
      </w:r>
      <w:r>
        <w:rPr>
          <w:rFonts w:hint="eastAsia"/>
          <w:b/>
          <w:i/>
          <w:iCs/>
          <w:kern w:val="2"/>
          <w:szCs w:val="20"/>
        </w:rPr>
        <w:t>:</w:t>
      </w:r>
      <w:r>
        <w:rPr>
          <w:rFonts w:hint="eastAsia"/>
          <w:bCs/>
          <w:i/>
          <w:iCs/>
          <w:kern w:val="2"/>
          <w:szCs w:val="20"/>
        </w:rPr>
        <w:t xml:space="preserve"> </w:t>
      </w:r>
      <w:r>
        <w:rPr>
          <w:rFonts w:hint="eastAsia"/>
          <w:bCs/>
          <w:i/>
          <w:iCs/>
        </w:rPr>
        <w:t>Regarding Rel-19 Type-I and Type-II codebook refinement, support the following CMR/IMR restrictions:</w:t>
      </w:r>
    </w:p>
    <w:p w:rsidR="001F267F" w:rsidRDefault="001F267F" w:rsidP="001F267F">
      <w:pPr>
        <w:numPr>
          <w:ilvl w:val="0"/>
          <w:numId w:val="13"/>
        </w:numPr>
        <w:snapToGrid w:val="0"/>
        <w:spacing w:beforeLines="50" w:before="120" w:afterLines="50" w:after="120" w:line="300" w:lineRule="auto"/>
        <w:rPr>
          <w:rFonts w:hAnsi="Cambria Math"/>
          <w:i/>
          <w:iCs/>
          <w:lang w:val="en-GB" w:eastAsia="en-US"/>
        </w:rPr>
      </w:pPr>
      <w:r>
        <w:rPr>
          <w:rFonts w:hAnsi="Cambria Math" w:hint="eastAsia"/>
          <w:i/>
          <w:iCs/>
          <w:lang w:val="en-GB"/>
        </w:rPr>
        <w:t>T</w:t>
      </w:r>
      <w:r>
        <w:rPr>
          <w:rFonts w:hAnsi="Cambria Math"/>
          <w:i/>
          <w:iCs/>
          <w:lang w:val="en-GB"/>
        </w:rPr>
        <w:t>he K CMRs should be allocated within two consecutive slots.</w:t>
      </w:r>
    </w:p>
    <w:p w:rsidR="001F267F" w:rsidRDefault="001F267F" w:rsidP="001F267F">
      <w:pPr>
        <w:numPr>
          <w:ilvl w:val="0"/>
          <w:numId w:val="13"/>
        </w:numPr>
        <w:snapToGrid w:val="0"/>
        <w:spacing w:beforeLines="50" w:before="120" w:afterLines="50" w:after="120" w:line="300" w:lineRule="auto"/>
        <w:rPr>
          <w:rFonts w:hAnsi="Cambria Math"/>
          <w:i/>
          <w:iCs/>
          <w:lang w:val="en-GB" w:eastAsia="en-US"/>
        </w:rPr>
      </w:pPr>
      <w:r>
        <w:rPr>
          <w:rFonts w:hAnsi="Cambria Math" w:hint="eastAsia"/>
          <w:i/>
          <w:iCs/>
        </w:rPr>
        <w:t>The</w:t>
      </w:r>
      <w:r>
        <w:rPr>
          <w:rFonts w:hAnsi="Cambria Math" w:hint="eastAsia"/>
          <w:i/>
          <w:iCs/>
          <w:lang w:val="en-GB" w:eastAsia="en-US"/>
        </w:rPr>
        <w:t xml:space="preserve"> K </w:t>
      </w:r>
      <w:r>
        <w:rPr>
          <w:rFonts w:hAnsi="Cambria Math" w:hint="eastAsia"/>
          <w:i/>
          <w:iCs/>
        </w:rPr>
        <w:t>CMR</w:t>
      </w:r>
      <w:r>
        <w:rPr>
          <w:rFonts w:hAnsi="Cambria Math"/>
          <w:i/>
          <w:iCs/>
        </w:rPr>
        <w:t>s</w:t>
      </w:r>
      <w:r>
        <w:rPr>
          <w:rFonts w:hAnsi="Cambria Math" w:hint="eastAsia"/>
          <w:i/>
          <w:iCs/>
        </w:rPr>
        <w:t xml:space="preserve"> should be </w:t>
      </w:r>
      <w:proofErr w:type="spellStart"/>
      <w:r>
        <w:rPr>
          <w:rFonts w:hAnsi="Cambria Math" w:hint="eastAsia"/>
          <w:i/>
          <w:iCs/>
        </w:rPr>
        <w:t>QCLed</w:t>
      </w:r>
      <w:proofErr w:type="spellEnd"/>
      <w:r>
        <w:rPr>
          <w:rFonts w:hAnsi="Cambria Math" w:hint="eastAsia"/>
          <w:i/>
          <w:iCs/>
        </w:rPr>
        <w:t xml:space="preserve"> and configured</w:t>
      </w:r>
      <w:r>
        <w:rPr>
          <w:rFonts w:hAnsi="Cambria Math" w:hint="eastAsia"/>
          <w:i/>
          <w:iCs/>
          <w:lang w:val="en-GB" w:eastAsia="en-US"/>
        </w:rPr>
        <w:t xml:space="preserve"> with</w:t>
      </w:r>
      <w:r>
        <w:rPr>
          <w:rFonts w:hAnsi="Cambria Math" w:hint="eastAsia"/>
          <w:i/>
          <w:iCs/>
        </w:rPr>
        <w:t>in</w:t>
      </w:r>
      <w:r>
        <w:rPr>
          <w:rFonts w:hAnsi="Cambria Math" w:hint="eastAsia"/>
          <w:i/>
          <w:iCs/>
          <w:lang w:val="en-GB" w:eastAsia="en-US"/>
        </w:rPr>
        <w:t xml:space="preserve"> a CSI-RS resource set</w:t>
      </w:r>
      <w:r>
        <w:rPr>
          <w:rFonts w:hAnsi="Cambria Math"/>
          <w:i/>
          <w:iCs/>
          <w:lang w:val="en-GB" w:eastAsia="en-US"/>
        </w:rPr>
        <w:t>;</w:t>
      </w:r>
    </w:p>
    <w:p w:rsidR="001F267F" w:rsidRDefault="001F267F" w:rsidP="001F267F">
      <w:pPr>
        <w:numPr>
          <w:ilvl w:val="0"/>
          <w:numId w:val="13"/>
        </w:numPr>
        <w:snapToGrid w:val="0"/>
        <w:spacing w:beforeLines="50" w:before="120" w:afterLines="50" w:after="120" w:line="300" w:lineRule="auto"/>
        <w:rPr>
          <w:rFonts w:hAnsi="Cambria Math"/>
          <w:i/>
          <w:iCs/>
        </w:rPr>
      </w:pPr>
      <w:r>
        <w:rPr>
          <w:rFonts w:hAnsi="Cambria Math" w:hint="eastAsia"/>
          <w:i/>
          <w:iCs/>
        </w:rPr>
        <w:t>Only one ZP</w:t>
      </w:r>
      <w:r>
        <w:rPr>
          <w:rFonts w:hAnsi="Cambria Math"/>
          <w:i/>
          <w:iCs/>
        </w:rPr>
        <w:t>/NZP</w:t>
      </w:r>
      <w:r>
        <w:rPr>
          <w:rFonts w:hAnsi="Cambria Math" w:hint="eastAsia"/>
          <w:i/>
          <w:iCs/>
        </w:rPr>
        <w:t xml:space="preserve"> IMR</w:t>
      </w:r>
      <w:r>
        <w:rPr>
          <w:rFonts w:hAnsi="Cambria Math"/>
          <w:i/>
          <w:iCs/>
        </w:rPr>
        <w:t xml:space="preserve"> is configured.</w:t>
      </w:r>
    </w:p>
    <w:p w:rsidR="001F267F" w:rsidRDefault="001F267F" w:rsidP="001F267F">
      <w:pPr>
        <w:tabs>
          <w:tab w:val="left" w:pos="420"/>
        </w:tabs>
        <w:snapToGrid w:val="0"/>
        <w:spacing w:beforeLines="50" w:before="120" w:afterLines="50" w:after="120" w:line="300" w:lineRule="auto"/>
        <w:rPr>
          <w:bCs/>
          <w:i/>
          <w:iCs/>
        </w:rPr>
      </w:pPr>
      <w:r>
        <w:rPr>
          <w:rFonts w:hint="eastAsia"/>
          <w:b/>
          <w:i/>
          <w:iCs/>
          <w:kern w:val="2"/>
          <w:szCs w:val="20"/>
        </w:rPr>
        <w:t xml:space="preserve">Proposal </w:t>
      </w:r>
      <w:r>
        <w:rPr>
          <w:b/>
          <w:i/>
          <w:iCs/>
          <w:kern w:val="2"/>
          <w:szCs w:val="20"/>
        </w:rPr>
        <w:t>3</w:t>
      </w:r>
      <w:r>
        <w:rPr>
          <w:rFonts w:hint="eastAsia"/>
          <w:b/>
          <w:i/>
          <w:iCs/>
          <w:kern w:val="2"/>
          <w:szCs w:val="20"/>
        </w:rPr>
        <w:t>:</w:t>
      </w:r>
      <w:r>
        <w:rPr>
          <w:rFonts w:hint="eastAsia"/>
          <w:bCs/>
          <w:i/>
          <w:iCs/>
          <w:kern w:val="2"/>
          <w:szCs w:val="20"/>
        </w:rPr>
        <w:t xml:space="preserve"> </w:t>
      </w:r>
      <w:r>
        <w:rPr>
          <w:rFonts w:hint="eastAsia"/>
          <w:i/>
          <w:iCs/>
        </w:rPr>
        <w:t>Regarding Rel-19 CRIs-based CSI reporting</w:t>
      </w:r>
      <w:r>
        <w:rPr>
          <w:rFonts w:hint="eastAsia"/>
          <w:bCs/>
          <w:i/>
          <w:iCs/>
        </w:rPr>
        <w:t>, support the following CMR/IMR restrictions:</w:t>
      </w:r>
    </w:p>
    <w:p w:rsidR="001F267F" w:rsidRDefault="001F267F" w:rsidP="001F267F">
      <w:pPr>
        <w:numPr>
          <w:ilvl w:val="0"/>
          <w:numId w:val="13"/>
        </w:numPr>
        <w:snapToGrid w:val="0"/>
        <w:spacing w:beforeLines="50" w:before="120" w:afterLines="50" w:after="120" w:line="300" w:lineRule="auto"/>
        <w:rPr>
          <w:rFonts w:hAnsi="Cambria Math"/>
          <w:i/>
          <w:iCs/>
          <w:lang w:val="en-GB" w:eastAsia="en-US"/>
        </w:rPr>
      </w:pPr>
      <w:r>
        <w:rPr>
          <w:rFonts w:hAnsi="Cambria Math" w:hint="eastAsia"/>
          <w:i/>
          <w:iCs/>
        </w:rPr>
        <w:t>The</w:t>
      </w:r>
      <w:r>
        <w:rPr>
          <w:rFonts w:hAnsi="Cambria Math" w:hint="eastAsia"/>
          <w:i/>
          <w:iCs/>
          <w:lang w:val="en-GB" w:eastAsia="en-US"/>
        </w:rPr>
        <w:t xml:space="preserve"> K </w:t>
      </w:r>
      <w:r>
        <w:rPr>
          <w:rFonts w:hAnsi="Cambria Math" w:hint="eastAsia"/>
          <w:i/>
          <w:iCs/>
        </w:rPr>
        <w:t>CMR</w:t>
      </w:r>
      <w:r>
        <w:rPr>
          <w:rFonts w:hAnsi="Cambria Math"/>
          <w:i/>
          <w:iCs/>
        </w:rPr>
        <w:t>s</w:t>
      </w:r>
      <w:r>
        <w:rPr>
          <w:rFonts w:hAnsi="Cambria Math" w:hint="eastAsia"/>
          <w:i/>
          <w:iCs/>
        </w:rPr>
        <w:t xml:space="preserve"> should be configured</w:t>
      </w:r>
      <w:r>
        <w:rPr>
          <w:rFonts w:hAnsi="Cambria Math" w:hint="eastAsia"/>
          <w:i/>
          <w:iCs/>
          <w:lang w:val="en-GB" w:eastAsia="en-US"/>
        </w:rPr>
        <w:t xml:space="preserve"> with</w:t>
      </w:r>
      <w:r>
        <w:rPr>
          <w:rFonts w:hAnsi="Cambria Math" w:hint="eastAsia"/>
          <w:i/>
          <w:iCs/>
        </w:rPr>
        <w:t>in</w:t>
      </w:r>
      <w:r>
        <w:rPr>
          <w:rFonts w:hAnsi="Cambria Math" w:hint="eastAsia"/>
          <w:i/>
          <w:iCs/>
          <w:lang w:val="en-GB" w:eastAsia="en-US"/>
        </w:rPr>
        <w:t xml:space="preserve"> a CSI-RS resource set</w:t>
      </w:r>
      <w:r>
        <w:rPr>
          <w:rFonts w:hAnsi="Cambria Math"/>
          <w:i/>
          <w:iCs/>
          <w:lang w:val="en-GB" w:eastAsia="en-US"/>
        </w:rPr>
        <w:t>;</w:t>
      </w:r>
    </w:p>
    <w:p w:rsidR="001F267F" w:rsidRDefault="001F267F" w:rsidP="001F267F">
      <w:pPr>
        <w:numPr>
          <w:ilvl w:val="0"/>
          <w:numId w:val="13"/>
        </w:numPr>
        <w:snapToGrid w:val="0"/>
        <w:spacing w:beforeLines="50" w:before="120" w:afterLines="50" w:after="120" w:line="300" w:lineRule="auto"/>
        <w:rPr>
          <w:rFonts w:hAnsi="Cambria Math"/>
          <w:i/>
          <w:iCs/>
        </w:rPr>
      </w:pPr>
      <w:r>
        <w:rPr>
          <w:rFonts w:hAnsi="Cambria Math" w:hint="eastAsia"/>
          <w:i/>
          <w:iCs/>
        </w:rPr>
        <w:t>One or more ZP/NZP IMR is configured</w:t>
      </w:r>
      <w:r>
        <w:rPr>
          <w:rFonts w:hAnsi="Cambria Math"/>
          <w:i/>
          <w:iCs/>
        </w:rPr>
        <w:t>.</w:t>
      </w:r>
    </w:p>
    <w:p w:rsidR="001F267F" w:rsidRDefault="001F267F" w:rsidP="001F267F">
      <w:pPr>
        <w:tabs>
          <w:tab w:val="left" w:pos="420"/>
        </w:tabs>
        <w:snapToGrid w:val="0"/>
        <w:spacing w:beforeLines="50" w:before="120" w:afterLines="50" w:after="120" w:line="300" w:lineRule="auto"/>
        <w:rPr>
          <w:bCs/>
          <w:i/>
          <w:iCs/>
        </w:rPr>
      </w:pPr>
      <w:r>
        <w:rPr>
          <w:b/>
          <w:i/>
          <w:iCs/>
          <w:kern w:val="2"/>
          <w:szCs w:val="20"/>
        </w:rPr>
        <w:t>Proposal 4:</w:t>
      </w:r>
      <w:r>
        <w:rPr>
          <w:bCs/>
          <w:i/>
          <w:iCs/>
          <w:kern w:val="2"/>
          <w:szCs w:val="20"/>
        </w:rPr>
        <w:t xml:space="preserve"> </w:t>
      </w:r>
      <w:r>
        <w:rPr>
          <w:bCs/>
          <w:i/>
          <w:iCs/>
        </w:rPr>
        <w:t xml:space="preserve">Regarding Rel-19 Type-I and Type-II codebook refinement, support the following aperiodic CMR configuration for </w:t>
      </w:r>
      <w:r>
        <w:rPr>
          <w:rFonts w:eastAsia="Batang"/>
          <w:i/>
          <w:szCs w:val="20"/>
          <w:lang w:val="en-GB" w:eastAsia="en-US"/>
        </w:rPr>
        <w:t>Rel-18 Type-II Doppler codebook</w:t>
      </w:r>
      <w:r>
        <w:rPr>
          <w:bCs/>
          <w:i/>
          <w:iCs/>
        </w:rPr>
        <w:t>:</w:t>
      </w:r>
    </w:p>
    <w:p w:rsidR="001F267F" w:rsidRDefault="001F267F" w:rsidP="001F267F">
      <w:pPr>
        <w:numPr>
          <w:ilvl w:val="0"/>
          <w:numId w:val="13"/>
        </w:numPr>
        <w:snapToGrid w:val="0"/>
        <w:spacing w:beforeLines="50" w:before="120" w:afterLines="50" w:after="120" w:line="300" w:lineRule="auto"/>
        <w:rPr>
          <w:i/>
          <w:iCs/>
          <w:lang w:val="en-GB" w:eastAsia="en-US"/>
        </w:rPr>
      </w:pPr>
      <w:r>
        <w:rPr>
          <w:i/>
          <w:iCs/>
        </w:rPr>
        <w:t>The</w:t>
      </w:r>
      <w:r>
        <w:rPr>
          <w:i/>
          <w:iCs/>
          <w:lang w:val="en-GB" w:eastAsia="en-US"/>
        </w:rPr>
        <w:t xml:space="preserve"> CSI resource set contains </w:t>
      </w:r>
      <m:oMath>
        <m:r>
          <w:rPr>
            <w:rFonts w:ascii="Cambria Math" w:hAnsi="Cambria Math"/>
            <w:lang w:val="en-GB" w:eastAsia="en-US"/>
          </w:rPr>
          <m:t>K</m:t>
        </m:r>
        <m:r>
          <w:rPr>
            <w:rFonts w:ascii="Cambria Math" w:hAnsi="Cambria Math" w:hint="eastAsia"/>
          </w:rPr>
          <m:t>∈</m:t>
        </m:r>
        <m:r>
          <w:rPr>
            <w:rFonts w:ascii="Cambria Math" w:hAnsi="Cambria Math" w:hint="eastAsia"/>
          </w:rPr>
          <m:t>{</m:t>
        </m:r>
        <m:r>
          <w:rPr>
            <w:rFonts w:ascii="Cambria Math" w:hAnsi="Cambria Math"/>
          </w:rPr>
          <m:t>4, 8,12}</m:t>
        </m:r>
      </m:oMath>
      <w:r>
        <w:rPr>
          <w:i/>
          <w:iCs/>
          <w:lang w:val="en-GB" w:eastAsia="en-US"/>
        </w:rPr>
        <w:t xml:space="preserve"> CSI-RS resource groups;</w:t>
      </w:r>
    </w:p>
    <w:p w:rsidR="001F267F" w:rsidRDefault="001F267F" w:rsidP="001F267F">
      <w:pPr>
        <w:numPr>
          <w:ilvl w:val="0"/>
          <w:numId w:val="13"/>
        </w:numPr>
        <w:snapToGrid w:val="0"/>
        <w:spacing w:beforeLines="50" w:before="120" w:afterLines="50" w:after="120" w:line="300" w:lineRule="auto"/>
        <w:rPr>
          <w:i/>
          <w:iCs/>
          <w:lang w:val="en-GB" w:eastAsia="en-US"/>
        </w:rPr>
      </w:pPr>
      <w:r>
        <w:rPr>
          <w:i/>
          <w:iCs/>
          <w:szCs w:val="20"/>
        </w:rPr>
        <w:t>Each group contains up to 4 CSI-RS resources;</w:t>
      </w:r>
    </w:p>
    <w:p w:rsidR="001F267F" w:rsidRDefault="001F267F" w:rsidP="001F267F">
      <w:pPr>
        <w:numPr>
          <w:ilvl w:val="0"/>
          <w:numId w:val="13"/>
        </w:numPr>
        <w:snapToGrid w:val="0"/>
        <w:spacing w:beforeLines="50" w:before="120" w:afterLines="50" w:after="120" w:line="300" w:lineRule="auto"/>
        <w:rPr>
          <w:i/>
          <w:iCs/>
        </w:rPr>
      </w:pPr>
      <w:r>
        <w:rPr>
          <w:i/>
          <w:iCs/>
        </w:rPr>
        <w:t xml:space="preserve">The time separation between two consecutive groups is </w:t>
      </w:r>
      <m:oMath>
        <m:r>
          <w:rPr>
            <w:rFonts w:ascii="Cambria Math" w:hAnsi="Cambria Math" w:hint="eastAsia"/>
          </w:rPr>
          <m:t>m</m:t>
        </m:r>
        <m:r>
          <w:rPr>
            <w:rFonts w:ascii="Cambria Math" w:hAnsi="Cambria Math" w:hint="eastAsia"/>
          </w:rPr>
          <m:t>∈</m:t>
        </m:r>
        <m:r>
          <w:rPr>
            <w:rFonts w:ascii="Cambria Math" w:hAnsi="Cambria Math" w:hint="eastAsia"/>
          </w:rPr>
          <m:t>{1,2}</m:t>
        </m:r>
      </m:oMath>
      <w:r>
        <w:rPr>
          <w:i/>
          <w:iCs/>
        </w:rPr>
        <w:t xml:space="preserve"> slots;</w:t>
      </w:r>
    </w:p>
    <w:p w:rsidR="001F267F" w:rsidRDefault="001F267F" w:rsidP="001F267F">
      <w:pPr>
        <w:numPr>
          <w:ilvl w:val="0"/>
          <w:numId w:val="13"/>
        </w:numPr>
        <w:snapToGrid w:val="0"/>
        <w:spacing w:beforeLines="50" w:before="120" w:afterLines="50" w:after="120" w:line="300" w:lineRule="auto"/>
        <w:rPr>
          <w:i/>
          <w:iCs/>
        </w:rPr>
      </w:pPr>
      <w:r>
        <w:rPr>
          <w:i/>
          <w:iCs/>
        </w:rPr>
        <w:lastRenderedPageBreak/>
        <w:t>The time separation between two consecutive CSI-RS resources is same in each group, and the time separation can be X symbols, e.g., X = 2.</w:t>
      </w:r>
    </w:p>
    <w:p w:rsidR="001F267F" w:rsidRDefault="001F267F" w:rsidP="001F267F">
      <w:pPr>
        <w:tabs>
          <w:tab w:val="left" w:pos="420"/>
        </w:tabs>
        <w:snapToGrid w:val="0"/>
        <w:spacing w:beforeLines="30" w:before="72" w:afterLines="30" w:after="72" w:line="300" w:lineRule="auto"/>
        <w:rPr>
          <w:i/>
        </w:rPr>
      </w:pPr>
      <w:r w:rsidRPr="002A74A3">
        <w:rPr>
          <w:b/>
          <w:i/>
        </w:rPr>
        <w:t xml:space="preserve">Proposal 5: </w:t>
      </w:r>
      <w:r w:rsidRPr="002A74A3">
        <w:rPr>
          <w:bCs/>
          <w:i/>
          <w:iCs/>
        </w:rPr>
        <w:t>Regarding Rel-19 Type-I and Type-II codebook refinement, support (O</w:t>
      </w:r>
      <w:r w:rsidRPr="002A74A3">
        <w:rPr>
          <w:bCs/>
          <w:i/>
          <w:iCs/>
          <w:vertAlign w:val="subscript"/>
        </w:rPr>
        <w:t>1</w:t>
      </w:r>
      <w:r w:rsidRPr="002A74A3">
        <w:rPr>
          <w:bCs/>
          <w:i/>
          <w:iCs/>
        </w:rPr>
        <w:t>, O</w:t>
      </w:r>
      <w:r w:rsidRPr="002A74A3">
        <w:rPr>
          <w:bCs/>
          <w:i/>
          <w:iCs/>
          <w:vertAlign w:val="subscript"/>
        </w:rPr>
        <w:t>2</w:t>
      </w:r>
      <w:r w:rsidRPr="002A74A3">
        <w:rPr>
          <w:bCs/>
          <w:i/>
          <w:iCs/>
        </w:rPr>
        <w:t>) = (2, 2) for P &gt; 32</w:t>
      </w:r>
      <w:r w:rsidRPr="002A74A3">
        <w:rPr>
          <w:i/>
        </w:rPr>
        <w:t>.</w:t>
      </w:r>
    </w:p>
    <w:p w:rsidR="00786436" w:rsidRDefault="00786436" w:rsidP="00786436">
      <w:pPr>
        <w:snapToGrid w:val="0"/>
        <w:spacing w:beforeLines="50" w:before="120" w:afterLines="50" w:after="120" w:line="300" w:lineRule="auto"/>
        <w:rPr>
          <w:bCs/>
          <w:i/>
          <w:iCs/>
        </w:rPr>
      </w:pPr>
      <w:r>
        <w:rPr>
          <w:rFonts w:hint="eastAsia"/>
          <w:b/>
          <w:i/>
          <w:iCs/>
          <w:kern w:val="2"/>
          <w:szCs w:val="20"/>
        </w:rPr>
        <w:t xml:space="preserve">Proposal </w:t>
      </w:r>
      <w:r>
        <w:rPr>
          <w:b/>
          <w:i/>
          <w:iCs/>
          <w:kern w:val="2"/>
          <w:szCs w:val="20"/>
        </w:rPr>
        <w:t>6</w:t>
      </w:r>
      <w:r>
        <w:rPr>
          <w:rFonts w:hint="eastAsia"/>
          <w:b/>
          <w:i/>
          <w:iCs/>
          <w:kern w:val="2"/>
          <w:szCs w:val="20"/>
        </w:rPr>
        <w:t xml:space="preserve">: </w:t>
      </w:r>
      <w:r>
        <w:rPr>
          <w:rFonts w:hint="eastAsia"/>
          <w:bCs/>
          <w:i/>
          <w:iCs/>
        </w:rPr>
        <w:t>Regarding Rel-19 Type-I and Type-II codebook refinement</w:t>
      </w:r>
      <w:r>
        <w:rPr>
          <w:bCs/>
          <w:i/>
          <w:iCs/>
        </w:rPr>
        <w:t>, support scheme 2 for RI = 1~4 Type-I codebook design targeting SU-MIMO.</w:t>
      </w:r>
    </w:p>
    <w:p w:rsidR="00786436" w:rsidRDefault="00786436" w:rsidP="00786436">
      <w:pPr>
        <w:numPr>
          <w:ilvl w:val="0"/>
          <w:numId w:val="13"/>
        </w:numPr>
        <w:snapToGrid w:val="0"/>
        <w:spacing w:beforeLines="50" w:before="120" w:afterLines="50" w:after="120" w:line="300" w:lineRule="auto"/>
        <w:rPr>
          <w:bCs/>
          <w:i/>
          <w:iCs/>
          <w:kern w:val="2"/>
          <w:szCs w:val="20"/>
        </w:rPr>
      </w:pPr>
      <w:r>
        <w:rPr>
          <w:rFonts w:hint="eastAsia"/>
          <w:bCs/>
          <w:i/>
          <w:iCs/>
          <w:kern w:val="2"/>
          <w:szCs w:val="20"/>
        </w:rPr>
        <w:t>S</w:t>
      </w:r>
      <w:r>
        <w:rPr>
          <w:bCs/>
          <w:i/>
          <w:iCs/>
          <w:kern w:val="2"/>
          <w:szCs w:val="20"/>
        </w:rPr>
        <w:t>upport M = 4 for M-PSK inter-polarization co-phasing;</w:t>
      </w:r>
    </w:p>
    <w:p w:rsidR="00786436" w:rsidRDefault="00786436" w:rsidP="00786436">
      <w:pPr>
        <w:numPr>
          <w:ilvl w:val="0"/>
          <w:numId w:val="13"/>
        </w:numPr>
        <w:snapToGrid w:val="0"/>
        <w:spacing w:beforeLines="50" w:before="120" w:afterLines="50" w:after="120" w:line="300" w:lineRule="auto"/>
        <w:rPr>
          <w:bCs/>
          <w:i/>
          <w:iCs/>
          <w:kern w:val="2"/>
          <w:szCs w:val="20"/>
        </w:rPr>
      </w:pPr>
      <w:r>
        <w:rPr>
          <w:rFonts w:hint="eastAsia"/>
          <w:bCs/>
          <w:i/>
          <w:iCs/>
          <w:kern w:val="2"/>
          <w:szCs w:val="20"/>
        </w:rPr>
        <w:t>S</w:t>
      </w:r>
      <w:r>
        <w:rPr>
          <w:bCs/>
          <w:i/>
          <w:iCs/>
          <w:kern w:val="2"/>
          <w:szCs w:val="20"/>
        </w:rPr>
        <w:t>upport additional subband SD basis selection, i.e., L = 4.</w:t>
      </w:r>
    </w:p>
    <w:p w:rsidR="001F267F" w:rsidRPr="00786436" w:rsidRDefault="00786436" w:rsidP="001F267F">
      <w:pPr>
        <w:tabs>
          <w:tab w:val="left" w:pos="420"/>
        </w:tabs>
        <w:snapToGrid w:val="0"/>
        <w:spacing w:beforeLines="30" w:before="72" w:afterLines="30" w:after="72" w:line="300" w:lineRule="auto"/>
        <w:rPr>
          <w:bCs/>
          <w:sz w:val="21"/>
          <w:szCs w:val="21"/>
        </w:rPr>
      </w:pPr>
      <w:r>
        <w:rPr>
          <w:rFonts w:hint="eastAsia"/>
          <w:b/>
          <w:i/>
          <w:iCs/>
          <w:kern w:val="2"/>
          <w:szCs w:val="20"/>
        </w:rPr>
        <w:t xml:space="preserve">Proposal </w:t>
      </w:r>
      <w:r>
        <w:rPr>
          <w:b/>
          <w:i/>
          <w:iCs/>
          <w:kern w:val="2"/>
          <w:szCs w:val="20"/>
        </w:rPr>
        <w:t>7</w:t>
      </w:r>
      <w:r>
        <w:rPr>
          <w:rFonts w:hint="eastAsia"/>
          <w:b/>
          <w:i/>
          <w:iCs/>
          <w:kern w:val="2"/>
          <w:szCs w:val="20"/>
        </w:rPr>
        <w:t xml:space="preserve">: </w:t>
      </w:r>
      <w:r>
        <w:rPr>
          <w:rFonts w:hint="eastAsia"/>
          <w:bCs/>
          <w:i/>
          <w:iCs/>
        </w:rPr>
        <w:t>Regarding Rel-19 Type-I and Type-II codebook refinement</w:t>
      </w:r>
      <w:r>
        <w:rPr>
          <w:bCs/>
          <w:i/>
          <w:iCs/>
        </w:rPr>
        <w:t xml:space="preserve">, </w:t>
      </w:r>
      <w:r w:rsidR="00BE4F61">
        <w:rPr>
          <w:rFonts w:hint="eastAsia"/>
          <w:bCs/>
          <w:i/>
          <w:iCs/>
        </w:rPr>
        <w:t>the</w:t>
      </w:r>
      <w:r w:rsidR="00BE4F61">
        <w:rPr>
          <w:bCs/>
          <w:i/>
          <w:iCs/>
        </w:rPr>
        <w:t xml:space="preserve"> </w:t>
      </w:r>
      <w:r>
        <w:rPr>
          <w:bCs/>
          <w:i/>
          <w:iCs/>
          <w:lang w:val="en-GB"/>
        </w:rPr>
        <w:t>extension</w:t>
      </w:r>
      <w:r>
        <w:rPr>
          <w:rFonts w:hint="eastAsia"/>
          <w:bCs/>
          <w:i/>
          <w:iCs/>
          <w:lang w:val="en-GB"/>
        </w:rPr>
        <w:t xml:space="preserve"> of Rel-15 Type-I MP codebook </w:t>
      </w:r>
      <w:r>
        <w:rPr>
          <w:bCs/>
          <w:i/>
          <w:iCs/>
          <w:lang w:val="en-GB"/>
        </w:rPr>
        <w:t>can be considered.</w:t>
      </w:r>
    </w:p>
    <w:p w:rsidR="001F267F" w:rsidRDefault="00786436" w:rsidP="001F267F">
      <w:pPr>
        <w:tabs>
          <w:tab w:val="left" w:pos="420"/>
        </w:tabs>
        <w:snapToGrid w:val="0"/>
        <w:spacing w:beforeLines="30" w:before="72" w:afterLines="30" w:after="72" w:line="300" w:lineRule="auto"/>
        <w:rPr>
          <w:bCs/>
          <w:sz w:val="21"/>
          <w:szCs w:val="21"/>
        </w:rPr>
      </w:pPr>
      <w:r>
        <w:rPr>
          <w:rFonts w:hint="eastAsia"/>
          <w:b/>
          <w:bCs/>
          <w:i/>
          <w:iCs/>
        </w:rPr>
        <w:t xml:space="preserve">Proposal </w:t>
      </w:r>
      <w:r>
        <w:rPr>
          <w:b/>
          <w:bCs/>
          <w:i/>
          <w:iCs/>
        </w:rPr>
        <w:t>8</w:t>
      </w:r>
      <w:r>
        <w:rPr>
          <w:rFonts w:hint="eastAsia"/>
          <w:b/>
          <w:bCs/>
          <w:i/>
          <w:iCs/>
        </w:rPr>
        <w:t>:</w:t>
      </w:r>
      <w:r>
        <w:rPr>
          <w:rFonts w:hint="eastAsia"/>
          <w:i/>
          <w:iCs/>
        </w:rPr>
        <w:t xml:space="preserve"> </w:t>
      </w:r>
      <w:r>
        <w:rPr>
          <w:rFonts w:hint="eastAsia"/>
          <w:bCs/>
          <w:i/>
          <w:iCs/>
        </w:rPr>
        <w:t>Regarding Rel-19 Type-I and Type-II codebook refinement</w:t>
      </w:r>
      <w:r>
        <w:rPr>
          <w:bCs/>
          <w:i/>
          <w:iCs/>
        </w:rPr>
        <w:t>, support scheme 3 for RI = 1~4 Type-I codebook design targeting MU-MIMO.</w:t>
      </w:r>
    </w:p>
    <w:p w:rsidR="00786436" w:rsidRDefault="00786436" w:rsidP="00786436">
      <w:pPr>
        <w:snapToGrid w:val="0"/>
        <w:spacing w:beforeLines="50" w:before="120" w:afterLines="50" w:after="120" w:line="300" w:lineRule="auto"/>
        <w:rPr>
          <w:bCs/>
          <w:i/>
          <w:iCs/>
        </w:rPr>
      </w:pPr>
      <w:r>
        <w:rPr>
          <w:rFonts w:hint="eastAsia"/>
          <w:b/>
          <w:i/>
          <w:iCs/>
          <w:kern w:val="2"/>
          <w:szCs w:val="20"/>
        </w:rPr>
        <w:t xml:space="preserve">Proposal </w:t>
      </w:r>
      <w:r>
        <w:rPr>
          <w:b/>
          <w:i/>
          <w:iCs/>
          <w:kern w:val="2"/>
          <w:szCs w:val="20"/>
        </w:rPr>
        <w:t>9</w:t>
      </w:r>
      <w:r>
        <w:rPr>
          <w:rFonts w:hint="eastAsia"/>
          <w:b/>
          <w:i/>
          <w:iCs/>
          <w:kern w:val="2"/>
          <w:szCs w:val="20"/>
        </w:rPr>
        <w:t xml:space="preserve">: </w:t>
      </w:r>
      <w:r>
        <w:rPr>
          <w:rFonts w:hint="eastAsia"/>
          <w:bCs/>
          <w:i/>
          <w:iCs/>
        </w:rPr>
        <w:t>Regarding Rel-19 Type-I and Type-II codebook refinement</w:t>
      </w:r>
      <w:r>
        <w:rPr>
          <w:bCs/>
          <w:i/>
          <w:iCs/>
        </w:rPr>
        <w:t>, support the following Type-I codebook design for RI = 5~8:</w:t>
      </w:r>
    </w:p>
    <w:p w:rsidR="00786436" w:rsidRDefault="00786436" w:rsidP="00786436">
      <w:pPr>
        <w:numPr>
          <w:ilvl w:val="0"/>
          <w:numId w:val="13"/>
        </w:numPr>
        <w:snapToGrid w:val="0"/>
        <w:spacing w:beforeLines="50" w:before="120" w:afterLines="50" w:after="120" w:line="300" w:lineRule="auto"/>
        <w:rPr>
          <w:bCs/>
          <w:i/>
          <w:iCs/>
          <w:kern w:val="2"/>
          <w:szCs w:val="20"/>
        </w:rPr>
      </w:pPr>
      <w:r>
        <w:rPr>
          <w:bCs/>
          <w:i/>
          <w:iCs/>
          <w:kern w:val="2"/>
          <w:szCs w:val="20"/>
        </w:rPr>
        <w:t>W</w:t>
      </w:r>
      <w:r>
        <w:rPr>
          <w:bCs/>
          <w:i/>
          <w:iCs/>
          <w:kern w:val="2"/>
          <w:szCs w:val="20"/>
          <w:vertAlign w:val="subscript"/>
        </w:rPr>
        <w:t>1</w:t>
      </w:r>
      <w:r>
        <w:rPr>
          <w:bCs/>
          <w:i/>
          <w:iCs/>
          <w:kern w:val="2"/>
          <w:szCs w:val="20"/>
        </w:rPr>
        <w:t xml:space="preserve"> structure:</w:t>
      </w:r>
    </w:p>
    <w:p w:rsidR="00786436" w:rsidRDefault="00786436" w:rsidP="00786436">
      <w:pPr>
        <w:numPr>
          <w:ilvl w:val="1"/>
          <w:numId w:val="13"/>
        </w:numPr>
        <w:tabs>
          <w:tab w:val="left" w:pos="420"/>
        </w:tabs>
        <w:snapToGrid w:val="0"/>
        <w:spacing w:beforeLines="50" w:before="120" w:afterLines="50" w:after="120" w:line="300" w:lineRule="auto"/>
        <w:rPr>
          <w:bCs/>
          <w:i/>
          <w:iCs/>
          <w:kern w:val="2"/>
          <w:szCs w:val="20"/>
        </w:rPr>
      </w:pPr>
      <w:r>
        <w:rPr>
          <w:rFonts w:hint="eastAsia"/>
          <w:bCs/>
          <w:i/>
          <w:iCs/>
          <w:kern w:val="2"/>
          <w:szCs w:val="20"/>
        </w:rPr>
        <w:t>I</w:t>
      </w:r>
      <w:r>
        <w:rPr>
          <w:bCs/>
          <w:i/>
          <w:iCs/>
          <w:kern w:val="2"/>
          <w:szCs w:val="20"/>
        </w:rPr>
        <w:t xml:space="preserve">ndependently selection of different </w:t>
      </w:r>
      <m:oMath>
        <m:d>
          <m:dPr>
            <m:begChr m:val="⌈"/>
            <m:endChr m:val="⌉"/>
            <m:ctrlPr>
              <w:rPr>
                <w:rFonts w:ascii="Cambria Math" w:hAnsi="Cambria Math"/>
                <w:bCs/>
                <w:iCs/>
                <w:kern w:val="2"/>
                <w:szCs w:val="20"/>
              </w:rPr>
            </m:ctrlPr>
          </m:dPr>
          <m:e>
            <m:f>
              <m:fPr>
                <m:type m:val="lin"/>
                <m:ctrlPr>
                  <w:rPr>
                    <w:rFonts w:ascii="Cambria Math" w:hAnsi="Cambria Math"/>
                    <w:bCs/>
                    <w:i/>
                    <w:iCs/>
                    <w:kern w:val="2"/>
                    <w:szCs w:val="20"/>
                  </w:rPr>
                </m:ctrlPr>
              </m:fPr>
              <m:num>
                <m:r>
                  <w:rPr>
                    <w:rFonts w:ascii="Cambria Math" w:hAnsi="Cambria Math"/>
                    <w:kern w:val="2"/>
                    <w:szCs w:val="20"/>
                  </w:rPr>
                  <m:t>v</m:t>
                </m:r>
              </m:num>
              <m:den>
                <m:r>
                  <w:rPr>
                    <w:rFonts w:ascii="Cambria Math" w:hAnsi="Cambria Math"/>
                    <w:kern w:val="2"/>
                    <w:szCs w:val="20"/>
                  </w:rPr>
                  <m:t>2</m:t>
                </m:r>
              </m:den>
            </m:f>
          </m:e>
        </m:d>
      </m:oMath>
      <w:r>
        <w:rPr>
          <w:rFonts w:hint="eastAsia"/>
          <w:bCs/>
          <w:i/>
          <w:iCs/>
          <w:kern w:val="2"/>
          <w:szCs w:val="20"/>
        </w:rPr>
        <w:t xml:space="preserve"> </w:t>
      </w:r>
      <w:r>
        <w:rPr>
          <w:bCs/>
          <w:i/>
          <w:iCs/>
          <w:kern w:val="2"/>
          <w:szCs w:val="20"/>
        </w:rPr>
        <w:t>SD bases for RI = v, where each SD basis is applied to two respective layers except that, if v is odd, the last SD basis is applied to the orphan layer.</w:t>
      </w:r>
    </w:p>
    <w:p w:rsidR="00786436" w:rsidRDefault="00786436" w:rsidP="00786436">
      <w:pPr>
        <w:numPr>
          <w:ilvl w:val="0"/>
          <w:numId w:val="13"/>
        </w:numPr>
        <w:snapToGrid w:val="0"/>
        <w:spacing w:beforeLines="50" w:before="120" w:afterLines="50" w:after="120" w:line="300" w:lineRule="auto"/>
        <w:rPr>
          <w:bCs/>
          <w:i/>
          <w:iCs/>
          <w:kern w:val="2"/>
          <w:szCs w:val="20"/>
        </w:rPr>
      </w:pPr>
      <w:r>
        <w:rPr>
          <w:bCs/>
          <w:i/>
          <w:iCs/>
          <w:kern w:val="2"/>
          <w:szCs w:val="20"/>
        </w:rPr>
        <w:t>W</w:t>
      </w:r>
      <w:r>
        <w:rPr>
          <w:bCs/>
          <w:i/>
          <w:iCs/>
          <w:kern w:val="2"/>
          <w:szCs w:val="20"/>
          <w:vertAlign w:val="subscript"/>
        </w:rPr>
        <w:t>2</w:t>
      </w:r>
      <w:r>
        <w:rPr>
          <w:bCs/>
          <w:i/>
          <w:iCs/>
          <w:kern w:val="2"/>
          <w:szCs w:val="20"/>
        </w:rPr>
        <w:t xml:space="preserve"> structure:</w:t>
      </w:r>
    </w:p>
    <w:p w:rsidR="00786436" w:rsidRDefault="00786436" w:rsidP="00786436">
      <w:pPr>
        <w:numPr>
          <w:ilvl w:val="1"/>
          <w:numId w:val="13"/>
        </w:numPr>
        <w:tabs>
          <w:tab w:val="left" w:pos="420"/>
        </w:tabs>
        <w:snapToGrid w:val="0"/>
        <w:spacing w:beforeLines="50" w:before="120" w:afterLines="50" w:after="120" w:line="300" w:lineRule="auto"/>
        <w:rPr>
          <w:bCs/>
          <w:i/>
          <w:iCs/>
          <w:kern w:val="2"/>
          <w:szCs w:val="20"/>
        </w:rPr>
      </w:pPr>
      <w:r>
        <w:rPr>
          <w:bCs/>
          <w:i/>
          <w:iCs/>
          <w:kern w:val="2"/>
          <w:szCs w:val="20"/>
        </w:rPr>
        <w:t xml:space="preserve">M-PSK inter-polarization co-phasing, </w:t>
      </w:r>
      <w:proofErr w:type="spellStart"/>
      <w:r>
        <w:rPr>
          <w:bCs/>
          <w:i/>
          <w:iCs/>
          <w:kern w:val="2"/>
          <w:szCs w:val="20"/>
        </w:rPr>
        <w:t>e.g</w:t>
      </w:r>
      <w:proofErr w:type="spellEnd"/>
      <w:r>
        <w:rPr>
          <w:bCs/>
          <w:i/>
          <w:iCs/>
          <w:kern w:val="2"/>
          <w:szCs w:val="20"/>
        </w:rPr>
        <w:t>, M = 4;</w:t>
      </w:r>
    </w:p>
    <w:p w:rsidR="001F267F" w:rsidRDefault="00786436" w:rsidP="002A74A3">
      <w:pPr>
        <w:numPr>
          <w:ilvl w:val="1"/>
          <w:numId w:val="13"/>
        </w:numPr>
        <w:tabs>
          <w:tab w:val="left" w:pos="420"/>
        </w:tabs>
        <w:snapToGrid w:val="0"/>
        <w:spacing w:beforeLines="50" w:before="120" w:afterLines="50" w:after="120" w:line="300" w:lineRule="auto"/>
        <w:rPr>
          <w:bCs/>
          <w:i/>
          <w:iCs/>
          <w:kern w:val="2"/>
          <w:szCs w:val="20"/>
        </w:rPr>
      </w:pPr>
      <w:r>
        <w:rPr>
          <w:rFonts w:hint="eastAsia"/>
          <w:bCs/>
          <w:i/>
          <w:iCs/>
          <w:kern w:val="2"/>
          <w:szCs w:val="20"/>
        </w:rPr>
        <w:t>A</w:t>
      </w:r>
      <w:r>
        <w:rPr>
          <w:bCs/>
          <w:i/>
          <w:iCs/>
          <w:kern w:val="2"/>
          <w:szCs w:val="20"/>
        </w:rPr>
        <w:t xml:space="preserve"> fixed </w:t>
      </w:r>
      <m:oMath>
        <m:r>
          <w:rPr>
            <w:rFonts w:ascii="Cambria Math" w:hAnsi="Cambria Math"/>
            <w:kern w:val="2"/>
            <w:szCs w:val="20"/>
          </w:rPr>
          <m:t>π</m:t>
        </m:r>
      </m:oMath>
      <w:r>
        <w:rPr>
          <w:rFonts w:hint="eastAsia"/>
          <w:bCs/>
          <w:i/>
          <w:iCs/>
          <w:kern w:val="2"/>
          <w:szCs w:val="20"/>
        </w:rPr>
        <w:t xml:space="preserve"> </w:t>
      </w:r>
      <w:r>
        <w:rPr>
          <w:bCs/>
          <w:i/>
          <w:iCs/>
          <w:kern w:val="2"/>
          <w:szCs w:val="20"/>
        </w:rPr>
        <w:t>rotation of inter-polarization co-phasing between two layers sharing a same SD basis.</w:t>
      </w:r>
    </w:p>
    <w:p w:rsidR="00786436" w:rsidRPr="002A74A3" w:rsidRDefault="00786436" w:rsidP="002A74A3">
      <w:pPr>
        <w:tabs>
          <w:tab w:val="left" w:pos="420"/>
        </w:tabs>
        <w:snapToGrid w:val="0"/>
        <w:spacing w:beforeLines="50" w:before="120" w:afterLines="50" w:after="120" w:line="300" w:lineRule="auto"/>
        <w:rPr>
          <w:bCs/>
          <w:i/>
          <w:iCs/>
          <w:kern w:val="2"/>
          <w:szCs w:val="20"/>
        </w:rPr>
      </w:pPr>
      <w:r w:rsidRPr="002A74A3">
        <w:rPr>
          <w:b/>
          <w:i/>
          <w:iCs/>
          <w:kern w:val="2"/>
          <w:szCs w:val="20"/>
        </w:rPr>
        <w:t xml:space="preserve">Proposal 10: </w:t>
      </w:r>
      <w:r w:rsidRPr="002A74A3">
        <w:rPr>
          <w:bCs/>
          <w:i/>
          <w:iCs/>
        </w:rPr>
        <w:t>Regarding Rel-19 Type-I and Type-II codebook refinement, support the following hard CBSR refinement for Type-I codebook to reduce the RRC overhead:</w:t>
      </w:r>
    </w:p>
    <w:p w:rsidR="00786436" w:rsidRPr="00786436" w:rsidRDefault="00786436" w:rsidP="00786436">
      <w:pPr>
        <w:pStyle w:val="aff2"/>
        <w:numPr>
          <w:ilvl w:val="0"/>
          <w:numId w:val="13"/>
        </w:numPr>
        <w:snapToGrid w:val="0"/>
        <w:spacing w:beforeLines="30" w:before="72" w:afterLines="30" w:after="72" w:line="300" w:lineRule="auto"/>
        <w:ind w:firstLineChars="0"/>
        <w:rPr>
          <w:bCs/>
          <w:sz w:val="21"/>
          <w:szCs w:val="21"/>
        </w:rPr>
      </w:pPr>
      <w:r w:rsidRPr="00786436">
        <w:rPr>
          <w:i/>
          <w:iCs/>
        </w:rPr>
        <w:t>Each bit in the CBSR is associated with a set of X</w:t>
      </w:r>
      <w:r w:rsidRPr="00786436">
        <w:rPr>
          <w:i/>
          <w:iCs/>
          <w:vertAlign w:val="subscript"/>
        </w:rPr>
        <w:t>1</w:t>
      </w:r>
      <w:r w:rsidRPr="00786436">
        <w:rPr>
          <w:i/>
          <w:iCs/>
        </w:rPr>
        <w:t>X</w:t>
      </w:r>
      <w:r w:rsidRPr="00786436">
        <w:rPr>
          <w:i/>
          <w:iCs/>
          <w:vertAlign w:val="subscript"/>
        </w:rPr>
        <w:t>2</w:t>
      </w:r>
      <w:r w:rsidRPr="00786436">
        <w:rPr>
          <w:i/>
          <w:iCs/>
        </w:rPr>
        <w:t xml:space="preserve"> SD bases, where the set includes X</w:t>
      </w:r>
      <w:r w:rsidRPr="00786436">
        <w:rPr>
          <w:i/>
          <w:iCs/>
          <w:vertAlign w:val="subscript"/>
        </w:rPr>
        <w:t>1</w:t>
      </w:r>
      <w:r w:rsidRPr="00786436">
        <w:rPr>
          <w:i/>
          <w:iCs/>
        </w:rPr>
        <w:t xml:space="preserve"> SD bases along the N</w:t>
      </w:r>
      <w:r w:rsidRPr="00786436">
        <w:rPr>
          <w:i/>
          <w:iCs/>
          <w:vertAlign w:val="subscript"/>
        </w:rPr>
        <w:t>1</w:t>
      </w:r>
      <w:r w:rsidRPr="00786436">
        <w:rPr>
          <w:i/>
          <w:iCs/>
        </w:rPr>
        <w:t xml:space="preserve"> direction and X</w:t>
      </w:r>
      <w:r w:rsidRPr="00786436">
        <w:rPr>
          <w:i/>
          <w:iCs/>
          <w:vertAlign w:val="subscript"/>
        </w:rPr>
        <w:t>2</w:t>
      </w:r>
      <w:r w:rsidRPr="00786436">
        <w:rPr>
          <w:i/>
          <w:iCs/>
        </w:rPr>
        <w:t xml:space="preserve"> SD bases along the N</w:t>
      </w:r>
      <w:r w:rsidRPr="00786436">
        <w:rPr>
          <w:i/>
          <w:iCs/>
          <w:vertAlign w:val="subscript"/>
        </w:rPr>
        <w:t>2</w:t>
      </w:r>
      <w:r w:rsidRPr="00786436">
        <w:rPr>
          <w:i/>
          <w:iCs/>
        </w:rPr>
        <w:t xml:space="preserve"> direction.</w:t>
      </w:r>
    </w:p>
    <w:p w:rsidR="00786436" w:rsidRDefault="00786436" w:rsidP="00786436">
      <w:pPr>
        <w:tabs>
          <w:tab w:val="left" w:pos="420"/>
        </w:tabs>
        <w:snapToGrid w:val="0"/>
        <w:spacing w:beforeLines="50" w:before="120" w:afterLines="50" w:after="120" w:line="300" w:lineRule="auto"/>
        <w:rPr>
          <w:bCs/>
          <w:i/>
          <w:iCs/>
        </w:rPr>
      </w:pPr>
      <w:r>
        <w:rPr>
          <w:b/>
          <w:i/>
          <w:iCs/>
          <w:kern w:val="2"/>
          <w:szCs w:val="20"/>
        </w:rPr>
        <w:t>Proposal 11:</w:t>
      </w:r>
      <w:r>
        <w:rPr>
          <w:bCs/>
          <w:i/>
          <w:iCs/>
          <w:kern w:val="2"/>
          <w:szCs w:val="20"/>
        </w:rPr>
        <w:t xml:space="preserve"> </w:t>
      </w:r>
      <w:r>
        <w:rPr>
          <w:i/>
          <w:iCs/>
        </w:rPr>
        <w:t>Regarding</w:t>
      </w:r>
      <w:r>
        <w:rPr>
          <w:rFonts w:eastAsia="Batang"/>
          <w:i/>
          <w:iCs/>
          <w:szCs w:val="20"/>
          <w:lang w:val="en-GB" w:eastAsia="en-US"/>
        </w:rPr>
        <w:t xml:space="preserve"> the Rel-19 Type-II codebook refinement for up to 128 CSI-RS ports</w:t>
      </w:r>
      <w:r>
        <w:rPr>
          <w:bCs/>
          <w:i/>
          <w:iCs/>
        </w:rPr>
        <w:t>, support:</w:t>
      </w:r>
    </w:p>
    <w:p w:rsidR="00786436" w:rsidRDefault="00786436" w:rsidP="00786436">
      <w:pPr>
        <w:numPr>
          <w:ilvl w:val="0"/>
          <w:numId w:val="13"/>
        </w:numPr>
        <w:snapToGrid w:val="0"/>
        <w:spacing w:beforeLines="50" w:before="120" w:afterLines="50" w:after="120" w:line="300" w:lineRule="auto"/>
        <w:rPr>
          <w:i/>
          <w:iCs/>
          <w:lang w:val="en-GB" w:eastAsia="en-US"/>
        </w:rPr>
      </w:pPr>
      <w:r>
        <w:rPr>
          <w:i/>
          <w:iCs/>
          <w:szCs w:val="20"/>
        </w:rPr>
        <w:t xml:space="preserve">Splitting the </w:t>
      </w:r>
      <w:r>
        <w:rPr>
          <w:i/>
          <w:iCs/>
        </w:rPr>
        <w:t xml:space="preserve">N1N2 orthogonal SD basis into a number of groups for </w:t>
      </w:r>
      <w:r>
        <w:rPr>
          <w:i/>
          <w:iCs/>
          <w:lang w:val="en-GB"/>
        </w:rPr>
        <w:t>SD selection indication;</w:t>
      </w:r>
    </w:p>
    <w:p w:rsidR="00786436" w:rsidRPr="002A74A3" w:rsidRDefault="00786436" w:rsidP="00786436">
      <w:pPr>
        <w:numPr>
          <w:ilvl w:val="0"/>
          <w:numId w:val="13"/>
        </w:numPr>
        <w:snapToGrid w:val="0"/>
        <w:spacing w:beforeLines="50" w:before="120" w:afterLines="50" w:after="120" w:line="300" w:lineRule="auto"/>
        <w:rPr>
          <w:bCs/>
          <w:sz w:val="21"/>
          <w:szCs w:val="21"/>
        </w:rPr>
      </w:pPr>
      <w:r w:rsidRPr="002A74A3">
        <w:rPr>
          <w:i/>
          <w:iCs/>
          <w:szCs w:val="20"/>
        </w:rPr>
        <w:t>Down</w:t>
      </w:r>
      <w:r>
        <w:rPr>
          <w:rFonts w:eastAsia="等线"/>
          <w:i/>
          <w:iCs/>
          <w:szCs w:val="20"/>
        </w:rPr>
        <w:t xml:space="preserve"> selection of legacy codebook parameter</w:t>
      </w:r>
      <w:r>
        <w:rPr>
          <w:rFonts w:eastAsia="等线"/>
          <w:i/>
          <w:iCs/>
          <w:szCs w:val="20"/>
          <w:lang w:val="en-GB"/>
        </w:rPr>
        <w:t xml:space="preserve"> combinations</w:t>
      </w:r>
      <w:r>
        <w:rPr>
          <w:rFonts w:eastAsia="等线"/>
          <w:i/>
          <w:iCs/>
          <w:szCs w:val="20"/>
        </w:rPr>
        <w:t xml:space="preserve"> to balance the performance and overhead </w:t>
      </w:r>
      <w:r>
        <w:rPr>
          <w:rFonts w:eastAsia="Batang"/>
          <w:i/>
          <w:iCs/>
          <w:szCs w:val="20"/>
          <w:lang w:val="en-GB" w:eastAsia="en-US"/>
        </w:rPr>
        <w:t>or UE complexity.</w:t>
      </w:r>
    </w:p>
    <w:p w:rsidR="00786436" w:rsidRPr="002A74A3" w:rsidRDefault="00786436" w:rsidP="002A74A3">
      <w:pPr>
        <w:tabs>
          <w:tab w:val="left" w:pos="420"/>
        </w:tabs>
        <w:snapToGrid w:val="0"/>
        <w:spacing w:beforeLines="50" w:before="120" w:afterLines="50" w:after="120" w:line="300" w:lineRule="auto"/>
        <w:rPr>
          <w:bCs/>
          <w:i/>
          <w:iCs/>
        </w:rPr>
      </w:pPr>
      <w:r w:rsidRPr="002A74A3">
        <w:rPr>
          <w:b/>
          <w:i/>
          <w:iCs/>
          <w:kern w:val="2"/>
          <w:szCs w:val="20"/>
        </w:rPr>
        <w:t>Proposal 12:</w:t>
      </w:r>
      <w:r w:rsidRPr="002A74A3">
        <w:rPr>
          <w:bCs/>
          <w:i/>
          <w:iCs/>
          <w:kern w:val="2"/>
          <w:szCs w:val="20"/>
        </w:rPr>
        <w:t xml:space="preserve"> </w:t>
      </w:r>
      <w:r w:rsidRPr="002A74A3">
        <w:rPr>
          <w:bCs/>
          <w:i/>
          <w:iCs/>
        </w:rPr>
        <w:t>Regarding Rel-19 Type-I and Type-II codebook refinement, support the following soft CBSR refinement for Type-II codebook to reduce the RRC overhead:</w:t>
      </w:r>
    </w:p>
    <w:p w:rsidR="00786436" w:rsidRPr="00786436" w:rsidRDefault="00786436" w:rsidP="002A74A3">
      <w:pPr>
        <w:pStyle w:val="aff2"/>
        <w:numPr>
          <w:ilvl w:val="0"/>
          <w:numId w:val="13"/>
        </w:numPr>
        <w:snapToGrid w:val="0"/>
        <w:spacing w:beforeLines="50" w:before="120" w:afterLines="50" w:after="120" w:line="300" w:lineRule="auto"/>
        <w:ind w:firstLineChars="0"/>
        <w:rPr>
          <w:bCs/>
          <w:sz w:val="21"/>
          <w:szCs w:val="21"/>
        </w:rPr>
      </w:pPr>
      <w:r w:rsidRPr="00786436">
        <w:rPr>
          <w:i/>
          <w:iCs/>
        </w:rPr>
        <w:t>Each two consecutive bits in the bit sequence B2 is associated with a set of X</w:t>
      </w:r>
      <w:r w:rsidRPr="00786436">
        <w:rPr>
          <w:i/>
          <w:iCs/>
          <w:vertAlign w:val="subscript"/>
        </w:rPr>
        <w:t>1</w:t>
      </w:r>
      <w:r w:rsidRPr="00786436">
        <w:rPr>
          <w:i/>
          <w:iCs/>
        </w:rPr>
        <w:t>X</w:t>
      </w:r>
      <w:r w:rsidRPr="00786436">
        <w:rPr>
          <w:i/>
          <w:iCs/>
          <w:vertAlign w:val="subscript"/>
        </w:rPr>
        <w:t>2</w:t>
      </w:r>
      <w:r w:rsidRPr="00786436">
        <w:rPr>
          <w:i/>
          <w:iCs/>
        </w:rPr>
        <w:t xml:space="preserve"> SD bases, where the set covers X</w:t>
      </w:r>
      <w:r w:rsidRPr="00786436">
        <w:rPr>
          <w:i/>
          <w:iCs/>
          <w:vertAlign w:val="subscript"/>
        </w:rPr>
        <w:t>1</w:t>
      </w:r>
      <w:r w:rsidRPr="00786436">
        <w:rPr>
          <w:i/>
          <w:iCs/>
        </w:rPr>
        <w:t xml:space="preserve"> SD bases along the N</w:t>
      </w:r>
      <w:r w:rsidRPr="00786436">
        <w:rPr>
          <w:i/>
          <w:iCs/>
          <w:vertAlign w:val="subscript"/>
        </w:rPr>
        <w:t>1</w:t>
      </w:r>
      <w:r w:rsidRPr="00786436">
        <w:rPr>
          <w:i/>
          <w:iCs/>
        </w:rPr>
        <w:t xml:space="preserve"> direction and X</w:t>
      </w:r>
      <w:r w:rsidRPr="00786436">
        <w:rPr>
          <w:i/>
          <w:iCs/>
          <w:vertAlign w:val="subscript"/>
        </w:rPr>
        <w:t>2</w:t>
      </w:r>
      <w:r w:rsidRPr="00786436">
        <w:rPr>
          <w:i/>
          <w:iCs/>
        </w:rPr>
        <w:t xml:space="preserve"> SD bases along the N</w:t>
      </w:r>
      <w:r w:rsidRPr="00786436">
        <w:rPr>
          <w:i/>
          <w:iCs/>
          <w:vertAlign w:val="subscript"/>
        </w:rPr>
        <w:t>2</w:t>
      </w:r>
      <w:r w:rsidRPr="00786436">
        <w:rPr>
          <w:i/>
          <w:iCs/>
        </w:rPr>
        <w:t xml:space="preserve"> direction in the corresponding SD basis group.</w:t>
      </w:r>
    </w:p>
    <w:p w:rsidR="00786436" w:rsidRPr="002A74A3" w:rsidRDefault="00786436" w:rsidP="002A74A3">
      <w:pPr>
        <w:tabs>
          <w:tab w:val="left" w:pos="420"/>
        </w:tabs>
        <w:snapToGrid w:val="0"/>
        <w:spacing w:beforeLines="30" w:before="72" w:afterLines="30" w:after="72" w:line="300" w:lineRule="auto"/>
        <w:textAlignment w:val="center"/>
        <w:rPr>
          <w:i/>
        </w:rPr>
      </w:pPr>
      <w:r w:rsidRPr="002A74A3">
        <w:rPr>
          <w:b/>
          <w:i/>
        </w:rPr>
        <w:t xml:space="preserve">Proposal 13: </w:t>
      </w:r>
      <w:r w:rsidRPr="002A74A3">
        <w:rPr>
          <w:i/>
        </w:rPr>
        <w:t xml:space="preserve">For </w:t>
      </w:r>
      <w:r w:rsidRPr="002A74A3">
        <w:rPr>
          <w:i/>
          <w:lang w:val="en-GB" w:eastAsia="en-US"/>
        </w:rPr>
        <w:t>the Rel-19 CRI-based CSI refinement for up to 128 CSI-RS ports, regarding the supported codebook(s) for calculating CQI/PMI/RI on each of the M CRI(s)</w:t>
      </w:r>
      <w:r w:rsidRPr="002A74A3">
        <w:rPr>
          <w:i/>
        </w:rPr>
        <w:t>, support Alt2.</w:t>
      </w:r>
    </w:p>
    <w:p w:rsidR="00786436" w:rsidRPr="00786436" w:rsidRDefault="00786436" w:rsidP="00786436">
      <w:pPr>
        <w:pStyle w:val="aff2"/>
        <w:numPr>
          <w:ilvl w:val="0"/>
          <w:numId w:val="13"/>
        </w:numPr>
        <w:snapToGrid w:val="0"/>
        <w:spacing w:beforeLines="30" w:before="72" w:afterLines="30" w:after="72" w:line="300" w:lineRule="auto"/>
        <w:ind w:firstLineChars="0"/>
        <w:rPr>
          <w:bCs/>
          <w:sz w:val="21"/>
          <w:szCs w:val="21"/>
        </w:rPr>
      </w:pPr>
      <w:r w:rsidRPr="00786436">
        <w:rPr>
          <w:rFonts w:hint="eastAsia"/>
          <w:i/>
        </w:rPr>
        <w:t xml:space="preserve">Alt2: </w:t>
      </w:r>
      <w:r w:rsidRPr="00786436">
        <w:rPr>
          <w:rFonts w:hint="eastAsia"/>
          <w:i/>
          <w:lang w:val="en-GB" w:eastAsia="en-US"/>
        </w:rPr>
        <w:t xml:space="preserve">Rel-15 Type-I Single Panel codebook and the Rel-16 </w:t>
      </w:r>
      <w:proofErr w:type="spellStart"/>
      <w:r w:rsidRPr="00786436">
        <w:rPr>
          <w:rFonts w:hint="eastAsia"/>
          <w:i/>
          <w:lang w:val="en-GB" w:eastAsia="en-US"/>
        </w:rPr>
        <w:t>eType</w:t>
      </w:r>
      <w:proofErr w:type="spellEnd"/>
      <w:r w:rsidRPr="00786436">
        <w:rPr>
          <w:rFonts w:hint="eastAsia"/>
          <w:i/>
          <w:lang w:val="en-GB" w:eastAsia="en-US"/>
        </w:rPr>
        <w:t xml:space="preserve">-II </w:t>
      </w:r>
      <w:proofErr w:type="spellStart"/>
      <w:r w:rsidRPr="00786436">
        <w:rPr>
          <w:rFonts w:hint="eastAsia"/>
          <w:i/>
          <w:lang w:val="en-GB" w:eastAsia="en-US"/>
        </w:rPr>
        <w:t>codeboo</w:t>
      </w:r>
      <w:proofErr w:type="spellEnd"/>
      <w:r w:rsidRPr="00786436">
        <w:rPr>
          <w:rFonts w:hint="eastAsia"/>
          <w:i/>
        </w:rPr>
        <w:t>k;</w:t>
      </w:r>
    </w:p>
    <w:p w:rsidR="00543026" w:rsidRDefault="00543026" w:rsidP="00543026">
      <w:pPr>
        <w:snapToGrid w:val="0"/>
        <w:spacing w:beforeLines="30" w:before="72" w:afterLines="30" w:after="72" w:line="300" w:lineRule="auto"/>
        <w:textAlignment w:val="center"/>
        <w:rPr>
          <w:i/>
        </w:rPr>
      </w:pPr>
      <w:r>
        <w:rPr>
          <w:b/>
          <w:i/>
        </w:rPr>
        <w:t>Proposal 14</w:t>
      </w:r>
      <w:r>
        <w:rPr>
          <w:rFonts w:hint="eastAsia"/>
          <w:b/>
          <w:i/>
        </w:rPr>
        <w:t xml:space="preserve">: </w:t>
      </w:r>
      <w:r>
        <w:rPr>
          <w:rFonts w:hint="eastAsia"/>
          <w:i/>
        </w:rPr>
        <w:t>Regarding Rel-19 CRIs-based CSI reporting</w:t>
      </w:r>
      <w:r>
        <w:rPr>
          <w:rFonts w:hint="eastAsia"/>
          <w:i/>
          <w:lang w:val="en-GB" w:eastAsia="en-US"/>
        </w:rPr>
        <w:t xml:space="preserve">, </w:t>
      </w:r>
      <w:r>
        <w:rPr>
          <w:i/>
        </w:rPr>
        <w:t>support:</w:t>
      </w:r>
    </w:p>
    <w:p w:rsidR="00543026" w:rsidRDefault="00543026" w:rsidP="00543026">
      <w:pPr>
        <w:numPr>
          <w:ilvl w:val="0"/>
          <w:numId w:val="13"/>
        </w:numPr>
        <w:snapToGrid w:val="0"/>
        <w:spacing w:beforeLines="50" w:before="120" w:afterLines="50" w:after="120" w:line="300" w:lineRule="auto"/>
        <w:rPr>
          <w:i/>
        </w:rPr>
      </w:pPr>
      <w:r>
        <w:rPr>
          <w:rFonts w:hint="eastAsia"/>
          <w:i/>
          <w:lang w:val="en-GB" w:eastAsia="en-US"/>
        </w:rPr>
        <w:lastRenderedPageBreak/>
        <w:t xml:space="preserve">X = 2 for Rel-16 </w:t>
      </w:r>
      <w:proofErr w:type="spellStart"/>
      <w:r>
        <w:rPr>
          <w:rFonts w:hint="eastAsia"/>
          <w:i/>
          <w:lang w:val="en-GB" w:eastAsia="en-US"/>
        </w:rPr>
        <w:t>eType</w:t>
      </w:r>
      <w:proofErr w:type="spellEnd"/>
      <w:r>
        <w:rPr>
          <w:rFonts w:hint="eastAsia"/>
          <w:i/>
          <w:lang w:val="en-GB" w:eastAsia="en-US"/>
        </w:rPr>
        <w:t xml:space="preserve">-II </w:t>
      </w:r>
      <w:proofErr w:type="spellStart"/>
      <w:r>
        <w:rPr>
          <w:rFonts w:hint="eastAsia"/>
          <w:i/>
          <w:lang w:val="en-GB" w:eastAsia="en-US"/>
        </w:rPr>
        <w:t>codeboo</w:t>
      </w:r>
      <w:proofErr w:type="spellEnd"/>
      <w:r>
        <w:rPr>
          <w:rFonts w:hint="eastAsia"/>
          <w:i/>
        </w:rPr>
        <w:t>k</w:t>
      </w:r>
      <w:r>
        <w:rPr>
          <w:i/>
        </w:rPr>
        <w:t>;</w:t>
      </w:r>
    </w:p>
    <w:p w:rsidR="00543026" w:rsidRDefault="00543026" w:rsidP="00543026">
      <w:pPr>
        <w:numPr>
          <w:ilvl w:val="0"/>
          <w:numId w:val="13"/>
        </w:numPr>
        <w:snapToGrid w:val="0"/>
        <w:spacing w:beforeLines="50" w:before="120" w:afterLines="50" w:after="120" w:line="300" w:lineRule="auto"/>
        <w:rPr>
          <w:i/>
        </w:rPr>
      </w:pPr>
      <w:r>
        <w:rPr>
          <w:i/>
        </w:rPr>
        <w:t>X = 4 for Rel-15 SP Type-I codebook;</w:t>
      </w:r>
    </w:p>
    <w:p w:rsidR="00786436" w:rsidRDefault="00543026" w:rsidP="002A74A3">
      <w:pPr>
        <w:numPr>
          <w:ilvl w:val="0"/>
          <w:numId w:val="13"/>
        </w:numPr>
        <w:snapToGrid w:val="0"/>
        <w:spacing w:beforeLines="50" w:before="120" w:afterLines="50" w:after="120" w:line="300" w:lineRule="auto"/>
        <w:rPr>
          <w:bCs/>
          <w:sz w:val="21"/>
          <w:szCs w:val="21"/>
        </w:rPr>
      </w:pPr>
      <w:r>
        <w:rPr>
          <w:rFonts w:hint="eastAsia"/>
          <w:i/>
        </w:rPr>
        <w:t>M is configured by the network</w:t>
      </w:r>
      <w:r>
        <w:rPr>
          <w:i/>
        </w:rPr>
        <w:t>.</w:t>
      </w:r>
    </w:p>
    <w:p w:rsidR="00F837B5" w:rsidRPr="002A74A3" w:rsidRDefault="00F837B5" w:rsidP="002A74A3">
      <w:pPr>
        <w:tabs>
          <w:tab w:val="left" w:pos="420"/>
        </w:tabs>
        <w:snapToGrid w:val="0"/>
        <w:spacing w:beforeLines="30" w:before="72" w:afterLines="30" w:after="72" w:line="300" w:lineRule="auto"/>
        <w:textAlignment w:val="center"/>
        <w:rPr>
          <w:i/>
          <w:iCs/>
        </w:rPr>
      </w:pPr>
      <w:r w:rsidRPr="002A74A3">
        <w:rPr>
          <w:b/>
          <w:i/>
        </w:rPr>
        <w:t xml:space="preserve">Proposal 15: </w:t>
      </w:r>
      <w:r w:rsidRPr="002A74A3">
        <w:rPr>
          <w:i/>
        </w:rPr>
        <w:t>Regarding Rel-19 CRIs-based CSI reporting, support the following overhead reduction scheme:</w:t>
      </w:r>
    </w:p>
    <w:p w:rsidR="00B81BF5" w:rsidRPr="002A74A3" w:rsidRDefault="00F837B5" w:rsidP="002A74A3">
      <w:pPr>
        <w:numPr>
          <w:ilvl w:val="0"/>
          <w:numId w:val="13"/>
        </w:numPr>
        <w:snapToGrid w:val="0"/>
        <w:spacing w:beforeLines="50" w:before="120" w:afterLines="50" w:after="120" w:line="300" w:lineRule="auto"/>
        <w:rPr>
          <w:i/>
        </w:rPr>
      </w:pPr>
      <w:r w:rsidRPr="00B81BF5">
        <w:rPr>
          <w:rFonts w:hint="eastAsia"/>
          <w:i/>
        </w:rPr>
        <w:t>Differential</w:t>
      </w:r>
      <w:r w:rsidRPr="00C94ADB">
        <w:rPr>
          <w:i/>
        </w:rPr>
        <w:t xml:space="preserve"> </w:t>
      </w:r>
      <w:r w:rsidRPr="00B81BF5">
        <w:rPr>
          <w:i/>
        </w:rPr>
        <w:t>wideband</w:t>
      </w:r>
      <w:r w:rsidRPr="00B81BF5">
        <w:rPr>
          <w:rFonts w:hint="eastAsia"/>
          <w:i/>
        </w:rPr>
        <w:t xml:space="preserve"> </w:t>
      </w:r>
      <w:r w:rsidRPr="00C94ADB">
        <w:rPr>
          <w:rFonts w:hint="eastAsia"/>
          <w:i/>
        </w:rPr>
        <w:t>CQI reporting across different CRIs.</w:t>
      </w:r>
    </w:p>
    <w:p w:rsidR="009B70BD" w:rsidRDefault="0051047F">
      <w:pPr>
        <w:snapToGrid w:val="0"/>
        <w:spacing w:beforeLines="50" w:before="120" w:afterLines="50" w:after="120" w:line="300" w:lineRule="auto"/>
        <w:rPr>
          <w:bCs/>
          <w:iCs/>
          <w:szCs w:val="20"/>
        </w:rPr>
      </w:pPr>
      <w:r>
        <w:rPr>
          <w:rFonts w:hint="eastAsia"/>
          <w:iCs/>
          <w:szCs w:val="20"/>
        </w:rPr>
        <w:t xml:space="preserve">Besides, we have the </w:t>
      </w:r>
      <w:r>
        <w:rPr>
          <w:rFonts w:hint="eastAsia"/>
          <w:bCs/>
          <w:iCs/>
          <w:szCs w:val="20"/>
        </w:rPr>
        <w:t>following observations and proposals for CSI enhancement for CJT deployment:</w:t>
      </w:r>
    </w:p>
    <w:p w:rsidR="00B06238" w:rsidRDefault="00B06238" w:rsidP="00655ED8">
      <w:pPr>
        <w:tabs>
          <w:tab w:val="left" w:pos="420"/>
        </w:tabs>
        <w:snapToGrid w:val="0"/>
        <w:spacing w:beforeLines="50" w:before="120" w:afterLines="50" w:after="120" w:line="300" w:lineRule="auto"/>
        <w:rPr>
          <w:i/>
          <w:iCs/>
        </w:rPr>
      </w:pPr>
      <w:r>
        <w:rPr>
          <w:rFonts w:hint="eastAsia"/>
          <w:b/>
          <w:bCs/>
          <w:i/>
          <w:iCs/>
        </w:rPr>
        <w:t xml:space="preserve">Observation </w:t>
      </w:r>
      <w:r>
        <w:rPr>
          <w:b/>
          <w:bCs/>
          <w:i/>
          <w:iCs/>
        </w:rPr>
        <w:t>6</w:t>
      </w:r>
      <w:r>
        <w:rPr>
          <w:rFonts w:hint="eastAsia"/>
          <w:b/>
          <w:bCs/>
          <w:i/>
          <w:iCs/>
        </w:rPr>
        <w:t xml:space="preserve">: </w:t>
      </w:r>
      <w:r>
        <w:rPr>
          <w:rFonts w:hint="eastAsia"/>
          <w:i/>
          <w:iCs/>
        </w:rPr>
        <w:t xml:space="preserve">Inter-TRP </w:t>
      </w:r>
      <w:r w:rsidR="002A43F3">
        <w:rPr>
          <w:i/>
          <w:iCs/>
        </w:rPr>
        <w:t>delay</w:t>
      </w:r>
      <w:r>
        <w:rPr>
          <w:rFonts w:hint="eastAsia"/>
          <w:i/>
          <w:iCs/>
        </w:rPr>
        <w:t xml:space="preserve">/frequency calibration can bring significant throughput gain for CJT with non-ideal synchronization and </w:t>
      </w:r>
      <w:r>
        <w:rPr>
          <w:i/>
          <w:iCs/>
        </w:rPr>
        <w:t>backhaul</w:t>
      </w:r>
      <w:r>
        <w:rPr>
          <w:rFonts w:hint="eastAsia"/>
          <w:i/>
          <w:iCs/>
        </w:rPr>
        <w:t>.</w:t>
      </w:r>
    </w:p>
    <w:p w:rsidR="00B06238" w:rsidRDefault="00B06238" w:rsidP="00655ED8">
      <w:pPr>
        <w:tabs>
          <w:tab w:val="left" w:pos="420"/>
        </w:tabs>
        <w:snapToGrid w:val="0"/>
        <w:spacing w:beforeLines="50" w:before="120" w:afterLines="50" w:after="120" w:line="300" w:lineRule="auto"/>
        <w:rPr>
          <w:b/>
          <w:bCs/>
          <w:i/>
          <w:iCs/>
        </w:rPr>
      </w:pPr>
      <w:r>
        <w:rPr>
          <w:rFonts w:eastAsia="微软雅黑" w:hint="eastAsia"/>
          <w:b/>
          <w:i/>
          <w:szCs w:val="20"/>
        </w:rPr>
        <w:t>O</w:t>
      </w:r>
      <w:r>
        <w:rPr>
          <w:rFonts w:eastAsia="微软雅黑"/>
          <w:b/>
          <w:i/>
          <w:szCs w:val="20"/>
        </w:rPr>
        <w:t xml:space="preserve">bservation 7: </w:t>
      </w:r>
      <w:r>
        <w:rPr>
          <w:rFonts w:eastAsia="微软雅黑"/>
          <w:i/>
          <w:szCs w:val="20"/>
        </w:rPr>
        <w:t xml:space="preserve">The performance of delay pre-compensation becomes </w:t>
      </w:r>
      <w:r w:rsidRPr="009F4CB1">
        <w:rPr>
          <w:rFonts w:eastAsia="微软雅黑"/>
          <w:i/>
          <w:szCs w:val="20"/>
        </w:rPr>
        <w:t>saturated</w:t>
      </w:r>
      <w:r>
        <w:rPr>
          <w:rFonts w:eastAsia="微软雅黑"/>
          <w:i/>
          <w:szCs w:val="20"/>
        </w:rPr>
        <w:t xml:space="preserve"> when the delay quantization </w:t>
      </w:r>
      <w:proofErr w:type="spellStart"/>
      <w:r>
        <w:rPr>
          <w:rFonts w:eastAsia="微软雅黑"/>
          <w:i/>
          <w:szCs w:val="20"/>
        </w:rPr>
        <w:t>bitwidth</w:t>
      </w:r>
      <w:proofErr w:type="spellEnd"/>
      <w:r>
        <w:rPr>
          <w:rFonts w:eastAsia="微软雅黑"/>
          <w:i/>
          <w:szCs w:val="20"/>
        </w:rPr>
        <w:t xml:space="preserve"> reaches 4.</w:t>
      </w:r>
    </w:p>
    <w:p w:rsidR="00B06238" w:rsidRDefault="00B06238" w:rsidP="00655ED8">
      <w:pPr>
        <w:tabs>
          <w:tab w:val="left" w:pos="420"/>
        </w:tabs>
        <w:snapToGrid w:val="0"/>
        <w:spacing w:beforeLines="50" w:before="120" w:afterLines="50" w:after="120" w:line="300" w:lineRule="auto"/>
        <w:rPr>
          <w:b/>
          <w:bCs/>
          <w:i/>
          <w:iCs/>
        </w:rPr>
      </w:pPr>
      <w:r>
        <w:rPr>
          <w:rFonts w:eastAsia="微软雅黑" w:hint="eastAsia"/>
          <w:b/>
          <w:i/>
          <w:szCs w:val="20"/>
        </w:rPr>
        <w:t>O</w:t>
      </w:r>
      <w:r>
        <w:rPr>
          <w:rFonts w:eastAsia="微软雅黑"/>
          <w:b/>
          <w:i/>
          <w:szCs w:val="20"/>
        </w:rPr>
        <w:t xml:space="preserve">bservation 8: </w:t>
      </w:r>
      <w:r>
        <w:rPr>
          <w:rFonts w:eastAsia="微软雅黑"/>
          <w:i/>
          <w:szCs w:val="20"/>
        </w:rPr>
        <w:t xml:space="preserve">The performance of frequency pre-compensation becomes </w:t>
      </w:r>
      <w:r w:rsidRPr="009F4CB1">
        <w:rPr>
          <w:rFonts w:eastAsia="微软雅黑"/>
          <w:i/>
          <w:szCs w:val="20"/>
        </w:rPr>
        <w:t>saturated</w:t>
      </w:r>
      <w:r>
        <w:rPr>
          <w:rFonts w:eastAsia="微软雅黑"/>
          <w:i/>
          <w:szCs w:val="20"/>
        </w:rPr>
        <w:t xml:space="preserve"> when the frequency quantization </w:t>
      </w:r>
      <w:proofErr w:type="spellStart"/>
      <w:r>
        <w:rPr>
          <w:rFonts w:eastAsia="微软雅黑"/>
          <w:i/>
          <w:szCs w:val="20"/>
        </w:rPr>
        <w:t>bitwidth</w:t>
      </w:r>
      <w:proofErr w:type="spellEnd"/>
      <w:r>
        <w:rPr>
          <w:rFonts w:eastAsia="微软雅黑"/>
          <w:i/>
          <w:szCs w:val="20"/>
        </w:rPr>
        <w:t xml:space="preserve"> reaches 4.</w:t>
      </w:r>
    </w:p>
    <w:p w:rsidR="00655ED8" w:rsidRPr="00B27A65" w:rsidRDefault="00655ED8" w:rsidP="00655ED8">
      <w:pPr>
        <w:tabs>
          <w:tab w:val="left" w:pos="420"/>
        </w:tabs>
        <w:snapToGrid w:val="0"/>
        <w:spacing w:beforeLines="50" w:before="120" w:afterLines="50" w:after="120" w:line="300" w:lineRule="auto"/>
        <w:rPr>
          <w:rFonts w:eastAsia="微软雅黑"/>
          <w:i/>
          <w:szCs w:val="20"/>
        </w:rPr>
      </w:pPr>
      <w:r w:rsidRPr="00B27A65">
        <w:rPr>
          <w:rFonts w:eastAsia="微软雅黑"/>
          <w:b/>
          <w:i/>
          <w:szCs w:val="20"/>
        </w:rPr>
        <w:t>Proposal 16:</w:t>
      </w:r>
      <w:r w:rsidRPr="00B27A65">
        <w:rPr>
          <w:rFonts w:eastAsia="微软雅黑"/>
          <w:i/>
          <w:szCs w:val="20"/>
        </w:rPr>
        <w:t xml:space="preserve"> Regarding Rel-19 CJT calibration reporting, support</w:t>
      </w:r>
    </w:p>
    <w:p w:rsidR="00655ED8" w:rsidRPr="002A74A3" w:rsidRDefault="00655ED8" w:rsidP="002A74A3">
      <w:pPr>
        <w:pStyle w:val="aff2"/>
        <w:numPr>
          <w:ilvl w:val="0"/>
          <w:numId w:val="13"/>
        </w:numPr>
        <w:snapToGrid w:val="0"/>
        <w:spacing w:beforeLines="30" w:before="72" w:afterLines="30" w:after="72" w:line="300" w:lineRule="auto"/>
        <w:ind w:firstLineChars="0"/>
        <w:rPr>
          <w:bCs/>
          <w:sz w:val="21"/>
          <w:szCs w:val="21"/>
        </w:rPr>
      </w:pPr>
      <w:r w:rsidRPr="003969E0">
        <w:rPr>
          <w:rFonts w:eastAsia="微软雅黑" w:hint="eastAsia"/>
          <w:i/>
          <w:szCs w:val="20"/>
        </w:rPr>
        <w:t>O</w:t>
      </w:r>
      <w:r w:rsidRPr="003969E0">
        <w:rPr>
          <w:rFonts w:eastAsia="微软雅黑"/>
          <w:i/>
          <w:szCs w:val="20"/>
        </w:rPr>
        <w:t>pt1: The UE reports for all the configured N</w:t>
      </w:r>
      <w:r w:rsidRPr="003969E0">
        <w:rPr>
          <w:rFonts w:eastAsia="微软雅黑"/>
          <w:i/>
          <w:szCs w:val="20"/>
          <w:vertAlign w:val="subscript"/>
        </w:rPr>
        <w:t>TRP</w:t>
      </w:r>
      <w:r w:rsidRPr="003969E0">
        <w:rPr>
          <w:rFonts w:eastAsia="微软雅黑"/>
          <w:i/>
          <w:szCs w:val="20"/>
        </w:rPr>
        <w:t xml:space="preserve"> CSI resources/resource sets.</w:t>
      </w:r>
    </w:p>
    <w:p w:rsidR="00655ED8" w:rsidRDefault="00655ED8" w:rsidP="00655ED8">
      <w:pPr>
        <w:tabs>
          <w:tab w:val="left" w:pos="420"/>
        </w:tabs>
        <w:snapToGrid w:val="0"/>
        <w:spacing w:beforeLines="50" w:before="120" w:afterLines="50" w:after="120" w:line="300" w:lineRule="auto"/>
        <w:rPr>
          <w:rFonts w:eastAsia="微软雅黑"/>
          <w:i/>
          <w:szCs w:val="20"/>
        </w:rPr>
      </w:pPr>
      <w:r>
        <w:rPr>
          <w:rFonts w:eastAsia="微软雅黑"/>
          <w:b/>
          <w:i/>
          <w:szCs w:val="20"/>
        </w:rPr>
        <w:t>Proposal 17:</w:t>
      </w:r>
      <w:r>
        <w:rPr>
          <w:rFonts w:eastAsia="微软雅黑"/>
          <w:i/>
          <w:szCs w:val="20"/>
        </w:rPr>
        <w:t xml:space="preserve"> Regarding Rel-19 CJT calibration reporting, for inter-TRP delay/frequency/phase reporting, support</w:t>
      </w:r>
    </w:p>
    <w:p w:rsidR="00655ED8" w:rsidRDefault="00655ED8" w:rsidP="00655ED8">
      <w:pPr>
        <w:numPr>
          <w:ilvl w:val="0"/>
          <w:numId w:val="19"/>
        </w:numPr>
        <w:snapToGrid w:val="0"/>
        <w:spacing w:beforeLines="50" w:before="120" w:afterLines="50" w:after="120" w:line="300" w:lineRule="auto"/>
        <w:rPr>
          <w:rFonts w:eastAsia="微软雅黑"/>
          <w:i/>
          <w:szCs w:val="20"/>
        </w:rPr>
      </w:pPr>
      <w:proofErr w:type="spellStart"/>
      <w:r>
        <w:rPr>
          <w:rFonts w:eastAsia="微软雅黑"/>
          <w:i/>
          <w:szCs w:val="20"/>
        </w:rPr>
        <w:t>n</w:t>
      </w:r>
      <w:r w:rsidRPr="00BC54C3">
        <w:rPr>
          <w:rFonts w:eastAsia="微软雅黑"/>
          <w:i/>
          <w:szCs w:val="20"/>
          <w:vertAlign w:val="subscript"/>
        </w:rPr>
        <w:t>ref</w:t>
      </w:r>
      <w:proofErr w:type="spellEnd"/>
      <w:r>
        <w:rPr>
          <w:rFonts w:eastAsia="微软雅黑"/>
          <w:i/>
          <w:szCs w:val="20"/>
        </w:rPr>
        <w:t xml:space="preserve"> is selected by UE and included in the report;</w:t>
      </w:r>
    </w:p>
    <w:p w:rsidR="009B70BD" w:rsidRPr="002A74A3" w:rsidRDefault="00655ED8" w:rsidP="00655ED8">
      <w:pPr>
        <w:numPr>
          <w:ilvl w:val="0"/>
          <w:numId w:val="19"/>
        </w:numPr>
        <w:snapToGrid w:val="0"/>
        <w:spacing w:beforeLines="50" w:before="120" w:afterLines="50" w:after="120" w:line="300" w:lineRule="auto"/>
        <w:rPr>
          <w:rFonts w:eastAsia="微软雅黑"/>
          <w:szCs w:val="20"/>
        </w:rPr>
      </w:pPr>
      <w:r>
        <w:rPr>
          <w:rFonts w:eastAsia="微软雅黑" w:hint="eastAsia"/>
          <w:i/>
          <w:szCs w:val="20"/>
        </w:rPr>
        <w:t>T</w:t>
      </w:r>
      <w:r>
        <w:rPr>
          <w:rFonts w:eastAsia="微软雅黑"/>
          <w:i/>
          <w:szCs w:val="20"/>
        </w:rPr>
        <w:t xml:space="preserve">he quantization range is </w:t>
      </w:r>
      <m:oMath>
        <m:d>
          <m:dPr>
            <m:ctrlPr>
              <w:rPr>
                <w:rFonts w:ascii="Cambria Math" w:eastAsia="微软雅黑" w:hAnsi="Cambria Math"/>
                <w:i/>
                <w:szCs w:val="20"/>
              </w:rPr>
            </m:ctrlPr>
          </m:dPr>
          <m:e>
            <m:r>
              <w:rPr>
                <w:rFonts w:ascii="Cambria Math" w:eastAsia="微软雅黑" w:hAnsi="Cambria Math"/>
                <w:szCs w:val="20"/>
              </w:rPr>
              <m:t>0, A</m:t>
            </m:r>
          </m:e>
        </m:d>
      </m:oMath>
      <w:r>
        <w:rPr>
          <w:rFonts w:eastAsia="微软雅黑" w:hint="eastAsia"/>
          <w:i/>
          <w:szCs w:val="20"/>
        </w:rPr>
        <w:t>.</w:t>
      </w:r>
      <w:r w:rsidR="0051047F">
        <w:rPr>
          <w:rFonts w:eastAsia="微软雅黑" w:hint="eastAsia"/>
          <w:i/>
          <w:iCs/>
          <w:szCs w:val="20"/>
        </w:rPr>
        <w:t xml:space="preserve"> </w:t>
      </w:r>
    </w:p>
    <w:p w:rsidR="00655ED8" w:rsidRDefault="00655ED8" w:rsidP="00655ED8">
      <w:pPr>
        <w:tabs>
          <w:tab w:val="left" w:pos="420"/>
        </w:tabs>
        <w:snapToGrid w:val="0"/>
        <w:spacing w:beforeLines="50" w:before="120" w:afterLines="50" w:after="120" w:line="300" w:lineRule="auto"/>
        <w:rPr>
          <w:rFonts w:eastAsia="微软雅黑"/>
          <w:i/>
          <w:szCs w:val="20"/>
        </w:rPr>
      </w:pPr>
      <w:r>
        <w:rPr>
          <w:rFonts w:eastAsia="微软雅黑"/>
          <w:b/>
          <w:i/>
          <w:szCs w:val="20"/>
        </w:rPr>
        <w:t>Proposal 18:</w:t>
      </w:r>
      <w:r>
        <w:rPr>
          <w:rFonts w:eastAsia="微软雅黑"/>
          <w:i/>
          <w:szCs w:val="20"/>
        </w:rPr>
        <w:t xml:space="preserve"> Regarding Rel-19 CJT calibration reporting, support to use a 1-port CSI-RS to measure the delay corresponding to each TRP.</w:t>
      </w:r>
    </w:p>
    <w:p w:rsidR="00655ED8" w:rsidRDefault="00655ED8" w:rsidP="00655ED8">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19:</w:t>
      </w:r>
      <w:r>
        <w:rPr>
          <w:rFonts w:eastAsia="微软雅黑"/>
          <w:i/>
          <w:szCs w:val="20"/>
        </w:rPr>
        <w:t xml:space="preserve"> Regarding Rel-19 CJT calibration reporting, the delay quantization range is configured by NW, and the following two options can be considered for the quantization range configuration:</w:t>
      </w:r>
    </w:p>
    <w:p w:rsidR="00655ED8" w:rsidRDefault="00655ED8" w:rsidP="00655ED8">
      <w:pPr>
        <w:numPr>
          <w:ilvl w:val="0"/>
          <w:numId w:val="19"/>
        </w:numPr>
        <w:snapToGrid w:val="0"/>
        <w:spacing w:beforeLines="50" w:before="120" w:afterLines="50" w:after="120" w:line="300" w:lineRule="auto"/>
        <w:rPr>
          <w:rFonts w:eastAsia="微软雅黑"/>
          <w:i/>
          <w:szCs w:val="20"/>
        </w:rPr>
      </w:pPr>
      <w:r>
        <w:rPr>
          <w:rFonts w:eastAsia="微软雅黑" w:hint="eastAsia"/>
          <w:i/>
          <w:szCs w:val="20"/>
        </w:rPr>
        <w:t>O</w:t>
      </w:r>
      <w:r>
        <w:rPr>
          <w:rFonts w:eastAsia="微软雅黑"/>
          <w:i/>
          <w:szCs w:val="20"/>
        </w:rPr>
        <w:t>ption 1: The delay quantization range is explicitly configured by RRC, and the unit CP or a microsecond.</w:t>
      </w:r>
    </w:p>
    <w:p w:rsidR="00655ED8" w:rsidRDefault="00655ED8" w:rsidP="002A74A3">
      <w:pPr>
        <w:numPr>
          <w:ilvl w:val="0"/>
          <w:numId w:val="19"/>
        </w:numPr>
        <w:snapToGrid w:val="0"/>
        <w:spacing w:beforeLines="50" w:before="120" w:afterLines="50" w:after="120" w:line="300" w:lineRule="auto"/>
        <w:rPr>
          <w:rFonts w:eastAsia="微软雅黑"/>
          <w:szCs w:val="20"/>
        </w:rPr>
      </w:pPr>
      <w:r>
        <w:rPr>
          <w:rFonts w:eastAsia="微软雅黑" w:hint="eastAsia"/>
          <w:i/>
          <w:szCs w:val="20"/>
        </w:rPr>
        <w:t>O</w:t>
      </w:r>
      <w:r>
        <w:rPr>
          <w:rFonts w:eastAsia="微软雅黑"/>
          <w:i/>
          <w:szCs w:val="20"/>
        </w:rPr>
        <w:t xml:space="preserve">ption 2: The delay quantization range is implicitly configured by RS configuration, i.e., the delay quantization range is </w:t>
      </w:r>
      <m:oMath>
        <m:f>
          <m:fPr>
            <m:ctrlPr>
              <w:rPr>
                <w:rFonts w:ascii="Cambria Math" w:eastAsia="微软雅黑" w:hAnsi="Cambria Math"/>
                <w:i/>
                <w:szCs w:val="20"/>
              </w:rPr>
            </m:ctrlPr>
          </m:fPr>
          <m:num>
            <m:r>
              <w:rPr>
                <w:rFonts w:ascii="Cambria Math" w:eastAsia="微软雅黑" w:hAnsi="Cambria Math"/>
                <w:szCs w:val="20"/>
              </w:rPr>
              <m:t>1</m:t>
            </m:r>
          </m:num>
          <m:den>
            <m:r>
              <w:rPr>
                <w:rFonts w:ascii="Cambria Math" w:eastAsia="微软雅黑" w:hAnsi="Cambria Math"/>
                <w:szCs w:val="20"/>
              </w:rPr>
              <m:t>∆f</m:t>
            </m:r>
          </m:den>
        </m:f>
      </m:oMath>
      <w:r>
        <w:rPr>
          <w:rFonts w:eastAsia="微软雅黑" w:hint="eastAsia"/>
          <w:i/>
          <w:szCs w:val="20"/>
        </w:rPr>
        <w:t>,</w:t>
      </w:r>
      <w:r>
        <w:rPr>
          <w:rFonts w:eastAsia="微软雅黑"/>
          <w:i/>
          <w:szCs w:val="20"/>
        </w:rPr>
        <w:t xml:space="preserve"> where </w:t>
      </w:r>
      <m:oMath>
        <m:r>
          <w:rPr>
            <w:rFonts w:ascii="Cambria Math" w:eastAsia="微软雅黑" w:hAnsi="Cambria Math"/>
            <w:szCs w:val="20"/>
          </w:rPr>
          <m:t>∆f</m:t>
        </m:r>
      </m:oMath>
      <w:r>
        <w:rPr>
          <w:rFonts w:eastAsia="微软雅黑" w:hint="eastAsia"/>
          <w:i/>
          <w:szCs w:val="20"/>
        </w:rPr>
        <w:t xml:space="preserve"> </w:t>
      </w:r>
      <w:r>
        <w:rPr>
          <w:rFonts w:eastAsia="微软雅黑"/>
          <w:i/>
          <w:szCs w:val="20"/>
        </w:rPr>
        <w:t>is the frequency separation between two consecutive REs carrying the RS.</w:t>
      </w:r>
    </w:p>
    <w:p w:rsidR="00655ED8" w:rsidRDefault="0069497D" w:rsidP="00655ED8">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20:</w:t>
      </w:r>
      <w:r>
        <w:rPr>
          <w:rFonts w:eastAsia="微软雅黑"/>
          <w:i/>
          <w:szCs w:val="20"/>
        </w:rPr>
        <w:t xml:space="preserve"> Regarding Rel-19 CJT calibration reporting, the delay offsets can be quantized by 3 bits as a starting point.</w:t>
      </w:r>
    </w:p>
    <w:p w:rsidR="0069497D" w:rsidRDefault="0069497D" w:rsidP="0069497D">
      <w:pPr>
        <w:tabs>
          <w:tab w:val="left" w:pos="432"/>
          <w:tab w:val="left" w:pos="576"/>
        </w:tabs>
        <w:snapToGrid w:val="0"/>
        <w:spacing w:afterLines="50" w:after="120" w:line="25" w:lineRule="atLeast"/>
        <w:rPr>
          <w:rFonts w:eastAsia="微软雅黑"/>
          <w:b/>
          <w:i/>
          <w:szCs w:val="20"/>
        </w:rPr>
      </w:pPr>
      <w:r>
        <w:rPr>
          <w:rFonts w:eastAsia="微软雅黑"/>
          <w:b/>
          <w:i/>
          <w:szCs w:val="20"/>
        </w:rPr>
        <w:t xml:space="preserve">Proposal 21: </w:t>
      </w:r>
      <w:r>
        <w:rPr>
          <w:rFonts w:eastAsia="微软雅黑"/>
          <w:i/>
          <w:szCs w:val="20"/>
        </w:rPr>
        <w:t>Regarding Rel-19 CJT calibration reporting, UE shall assume that the measured and reported per-TRP frequency offsets include Doppler shift (if exists).</w:t>
      </w:r>
    </w:p>
    <w:p w:rsidR="0069497D" w:rsidRDefault="0069497D" w:rsidP="0069497D">
      <w:pPr>
        <w:tabs>
          <w:tab w:val="left" w:pos="420"/>
        </w:tabs>
        <w:snapToGrid w:val="0"/>
        <w:spacing w:beforeLines="50" w:before="120" w:afterLines="50" w:after="120" w:line="300" w:lineRule="auto"/>
        <w:rPr>
          <w:rFonts w:eastAsia="微软雅黑"/>
          <w:szCs w:val="20"/>
        </w:rPr>
      </w:pPr>
      <w:r>
        <w:rPr>
          <w:rFonts w:eastAsia="微软雅黑"/>
          <w:b/>
          <w:i/>
          <w:szCs w:val="20"/>
        </w:rPr>
        <w:t>Proposal 22:</w:t>
      </w:r>
      <w:r>
        <w:rPr>
          <w:rFonts w:eastAsia="微软雅黑"/>
          <w:i/>
          <w:szCs w:val="20"/>
        </w:rPr>
        <w:t xml:space="preserve"> Regarding Rel-19 CJT calibration reporting, support to use a pair of 1-port CSI-RSs to measure the CFO corresponding to each TRP.</w:t>
      </w:r>
    </w:p>
    <w:p w:rsidR="0069497D" w:rsidRDefault="0069497D" w:rsidP="0069497D">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23:</w:t>
      </w:r>
      <w:r>
        <w:rPr>
          <w:rFonts w:eastAsia="微软雅黑"/>
          <w:i/>
          <w:szCs w:val="20"/>
        </w:rPr>
        <w:t xml:space="preserve"> Regarding Rel-19 CJT calibration reporting, the frequency quantization range is configured by NW, and the following two options can be considered for the quantization range configuration:</w:t>
      </w:r>
    </w:p>
    <w:p w:rsidR="0069497D" w:rsidRDefault="0069497D" w:rsidP="0069497D">
      <w:pPr>
        <w:numPr>
          <w:ilvl w:val="0"/>
          <w:numId w:val="19"/>
        </w:numPr>
        <w:snapToGrid w:val="0"/>
        <w:spacing w:beforeLines="50" w:before="120" w:afterLines="50" w:after="120" w:line="300" w:lineRule="auto"/>
        <w:rPr>
          <w:rFonts w:eastAsia="微软雅黑"/>
          <w:i/>
          <w:szCs w:val="20"/>
        </w:rPr>
      </w:pPr>
      <w:r>
        <w:rPr>
          <w:rFonts w:eastAsia="微软雅黑" w:hint="eastAsia"/>
          <w:i/>
          <w:szCs w:val="20"/>
        </w:rPr>
        <w:t>O</w:t>
      </w:r>
      <w:r>
        <w:rPr>
          <w:rFonts w:eastAsia="微软雅黑"/>
          <w:i/>
          <w:szCs w:val="20"/>
        </w:rPr>
        <w:t>ption 1: The frequency quantization range is explicitly configured by RRC, and the unit is 0.01 ppm or Hz.</w:t>
      </w:r>
    </w:p>
    <w:p w:rsidR="0069497D" w:rsidRPr="002A74A3" w:rsidRDefault="0069497D" w:rsidP="0069497D">
      <w:pPr>
        <w:numPr>
          <w:ilvl w:val="0"/>
          <w:numId w:val="19"/>
        </w:numPr>
        <w:snapToGrid w:val="0"/>
        <w:spacing w:beforeLines="50" w:before="120" w:afterLines="50" w:after="120" w:line="300" w:lineRule="auto"/>
        <w:rPr>
          <w:rFonts w:eastAsia="微软雅黑"/>
          <w:szCs w:val="20"/>
        </w:rPr>
      </w:pPr>
      <w:r>
        <w:rPr>
          <w:rFonts w:eastAsia="微软雅黑" w:hint="eastAsia"/>
          <w:i/>
          <w:szCs w:val="20"/>
        </w:rPr>
        <w:lastRenderedPageBreak/>
        <w:t>O</w:t>
      </w:r>
      <w:r>
        <w:rPr>
          <w:rFonts w:eastAsia="微软雅黑"/>
          <w:i/>
          <w:szCs w:val="20"/>
        </w:rPr>
        <w:t xml:space="preserve">ption 2: The frequency quantization range is implicitly configured by RS configuration, i.e., the frequency quantization range is </w:t>
      </w:r>
      <m:oMath>
        <m:f>
          <m:fPr>
            <m:ctrlPr>
              <w:rPr>
                <w:rFonts w:ascii="Cambria Math" w:eastAsia="微软雅黑" w:hAnsi="Cambria Math"/>
                <w:szCs w:val="20"/>
              </w:rPr>
            </m:ctrlPr>
          </m:fPr>
          <m:num>
            <m:r>
              <w:rPr>
                <w:rFonts w:ascii="Cambria Math" w:eastAsia="微软雅黑" w:hAnsi="Cambria Math"/>
                <w:szCs w:val="20"/>
              </w:rPr>
              <m:t>1</m:t>
            </m:r>
          </m:num>
          <m:den>
            <m:r>
              <w:rPr>
                <w:rFonts w:ascii="Cambria Math" w:eastAsia="微软雅黑" w:hAnsi="Cambria Math"/>
                <w:szCs w:val="20"/>
              </w:rPr>
              <m:t>∆t</m:t>
            </m:r>
          </m:den>
        </m:f>
      </m:oMath>
      <w:r>
        <w:rPr>
          <w:rFonts w:eastAsia="微软雅黑" w:hint="eastAsia"/>
          <w:i/>
          <w:szCs w:val="20"/>
        </w:rPr>
        <w:t>,</w:t>
      </w:r>
      <w:r>
        <w:rPr>
          <w:rFonts w:eastAsia="微软雅黑"/>
          <w:i/>
          <w:szCs w:val="20"/>
        </w:rPr>
        <w:t xml:space="preserve"> where </w:t>
      </w:r>
      <m:oMath>
        <m:r>
          <w:rPr>
            <w:rFonts w:ascii="Cambria Math" w:eastAsia="微软雅黑" w:hAnsi="Cambria Math"/>
            <w:szCs w:val="20"/>
          </w:rPr>
          <m:t>∆t</m:t>
        </m:r>
      </m:oMath>
      <w:r>
        <w:rPr>
          <w:rFonts w:eastAsia="微软雅黑" w:hint="eastAsia"/>
          <w:i/>
          <w:szCs w:val="20"/>
        </w:rPr>
        <w:t xml:space="preserve"> </w:t>
      </w:r>
      <w:r>
        <w:rPr>
          <w:rFonts w:eastAsia="微软雅黑"/>
          <w:i/>
          <w:szCs w:val="20"/>
        </w:rPr>
        <w:t>is the time separation between two RSs.</w:t>
      </w:r>
    </w:p>
    <w:p w:rsidR="0069497D" w:rsidRDefault="0069497D" w:rsidP="0069497D">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24:</w:t>
      </w:r>
      <w:r>
        <w:rPr>
          <w:rFonts w:eastAsia="微软雅黑"/>
          <w:i/>
          <w:szCs w:val="20"/>
        </w:rPr>
        <w:t xml:space="preserve"> Regarding Rel-19 CJT calibration reporting, support Alt 1 for frequency quantization.</w:t>
      </w:r>
    </w:p>
    <w:p w:rsidR="0069497D" w:rsidRDefault="0069497D" w:rsidP="0069497D">
      <w:pPr>
        <w:numPr>
          <w:ilvl w:val="0"/>
          <w:numId w:val="19"/>
        </w:numPr>
        <w:snapToGrid w:val="0"/>
        <w:spacing w:beforeLines="50" w:before="120" w:afterLines="50" w:after="120" w:line="300" w:lineRule="auto"/>
        <w:rPr>
          <w:rFonts w:eastAsia="微软雅黑"/>
          <w:i/>
          <w:szCs w:val="20"/>
        </w:rPr>
      </w:pPr>
      <w:r>
        <w:rPr>
          <w:rFonts w:eastAsia="Calibri"/>
          <w:i/>
        </w:rPr>
        <w:t xml:space="preserve">Alt1. The value of </w:t>
      </w:r>
      <w:proofErr w:type="spellStart"/>
      <w:r>
        <w:rPr>
          <w:rFonts w:eastAsia="Calibri"/>
          <w:i/>
        </w:rPr>
        <w:t>FO</w:t>
      </w:r>
      <w:r>
        <w:rPr>
          <w:rFonts w:eastAsia="Calibri"/>
          <w:i/>
          <w:vertAlign w:val="subscript"/>
        </w:rPr>
        <w:t>n</w:t>
      </w:r>
      <w:proofErr w:type="spellEnd"/>
      <w:r>
        <w:rPr>
          <w:rFonts w:eastAsia="Calibri"/>
          <w:i/>
        </w:rPr>
        <w:t xml:space="preserve"> indicates a uniformly quantized FO between –A</w:t>
      </w:r>
      <w:r>
        <w:rPr>
          <w:rFonts w:eastAsia="Calibri"/>
          <w:i/>
          <w:vertAlign w:val="subscript"/>
        </w:rPr>
        <w:t>FO</w:t>
      </w:r>
      <w:r>
        <w:rPr>
          <w:rFonts w:eastAsia="Calibri"/>
          <w:i/>
        </w:rPr>
        <w:t xml:space="preserve"> and A</w:t>
      </w:r>
      <w:r>
        <w:rPr>
          <w:rFonts w:eastAsia="Calibri"/>
          <w:i/>
          <w:vertAlign w:val="subscript"/>
        </w:rPr>
        <w:t>FO</w:t>
      </w:r>
      <w:r>
        <w:rPr>
          <w:i/>
        </w:rPr>
        <w:t xml:space="preserve">, or 0 and </w:t>
      </w:r>
      <w:r>
        <w:rPr>
          <w:rFonts w:eastAsia="Calibri"/>
          <w:i/>
        </w:rPr>
        <w:t>A</w:t>
      </w:r>
      <w:r>
        <w:rPr>
          <w:rFonts w:eastAsia="Calibri"/>
          <w:i/>
          <w:vertAlign w:val="subscript"/>
        </w:rPr>
        <w:t>FO.</w:t>
      </w:r>
    </w:p>
    <w:p w:rsidR="0069497D" w:rsidRDefault="0069497D" w:rsidP="0069497D">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25:</w:t>
      </w:r>
      <w:r>
        <w:rPr>
          <w:rFonts w:eastAsia="微软雅黑"/>
          <w:i/>
          <w:szCs w:val="20"/>
        </w:rPr>
        <w:t xml:space="preserve"> Regarding Rel-19 CJT calibration reporting, the ‘out of range’ or ‘invalid’ codepoint is not needed for frequency quantization.</w:t>
      </w:r>
    </w:p>
    <w:p w:rsidR="0069497D" w:rsidRDefault="0069497D" w:rsidP="0069497D">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26:</w:t>
      </w:r>
      <w:r>
        <w:rPr>
          <w:rFonts w:eastAsia="微软雅黑"/>
          <w:i/>
          <w:szCs w:val="20"/>
        </w:rPr>
        <w:t xml:space="preserve"> Regarding Rel-19 CJT calibration reporting, the CFO offsets can be quantized by 4 bits as a starting point.</w:t>
      </w:r>
    </w:p>
    <w:p w:rsidR="0069497D" w:rsidRDefault="0069497D" w:rsidP="0069497D">
      <w:pPr>
        <w:tabs>
          <w:tab w:val="left" w:pos="432"/>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27:</w:t>
      </w:r>
      <w:r>
        <w:rPr>
          <w:rFonts w:eastAsia="微软雅黑"/>
          <w:i/>
          <w:szCs w:val="20"/>
        </w:rPr>
        <w:t xml:space="preserve"> Regarding Rel-19 CJT calibration reporting, support inter-TRP phase reporting for reciprocity calibration in TDD.</w:t>
      </w:r>
    </w:p>
    <w:p w:rsidR="0069497D" w:rsidRPr="0069497D" w:rsidRDefault="0069497D" w:rsidP="0069497D">
      <w:pPr>
        <w:tabs>
          <w:tab w:val="left" w:pos="420"/>
        </w:tabs>
        <w:snapToGrid w:val="0"/>
        <w:spacing w:beforeLines="50" w:before="120" w:afterLines="50" w:after="120" w:line="300" w:lineRule="auto"/>
        <w:rPr>
          <w:rFonts w:eastAsia="微软雅黑"/>
          <w:szCs w:val="20"/>
        </w:rPr>
      </w:pPr>
      <w:r>
        <w:rPr>
          <w:rFonts w:eastAsia="微软雅黑" w:hint="eastAsia"/>
          <w:b/>
          <w:i/>
          <w:szCs w:val="20"/>
        </w:rPr>
        <w:t>P</w:t>
      </w:r>
      <w:r>
        <w:rPr>
          <w:rFonts w:eastAsia="微软雅黑"/>
          <w:b/>
          <w:i/>
          <w:szCs w:val="20"/>
        </w:rPr>
        <w:t>roposal 28:</w:t>
      </w:r>
      <w:r>
        <w:rPr>
          <w:rFonts w:eastAsia="微软雅黑"/>
          <w:i/>
          <w:szCs w:val="20"/>
        </w:rPr>
        <w:t xml:space="preserve"> Regarding Rel-19 CJT calibration reporting, the CSI-RSs for inter-TRP phase measurement should be transmitted with a limited time interval, e.g., 2 slots.</w:t>
      </w:r>
    </w:p>
    <w:p w:rsidR="0069497D" w:rsidRDefault="0069497D" w:rsidP="0069497D">
      <w:pPr>
        <w:tabs>
          <w:tab w:val="left" w:pos="420"/>
        </w:tabs>
        <w:snapToGrid w:val="0"/>
        <w:spacing w:beforeLines="50" w:before="120" w:afterLines="50" w:after="120" w:line="300" w:lineRule="auto"/>
        <w:rPr>
          <w:rFonts w:eastAsia="微软雅黑"/>
          <w:i/>
          <w:iCs/>
          <w:szCs w:val="20"/>
        </w:rPr>
      </w:pPr>
      <w:r>
        <w:rPr>
          <w:rFonts w:eastAsia="微软雅黑" w:hint="eastAsia"/>
          <w:b/>
          <w:i/>
          <w:szCs w:val="20"/>
        </w:rPr>
        <w:t>P</w:t>
      </w:r>
      <w:r>
        <w:rPr>
          <w:rFonts w:eastAsia="微软雅黑"/>
          <w:b/>
          <w:i/>
          <w:szCs w:val="20"/>
        </w:rPr>
        <w:t>roposal 29:</w:t>
      </w:r>
      <w:r>
        <w:rPr>
          <w:rFonts w:eastAsia="微软雅黑"/>
          <w:i/>
          <w:szCs w:val="20"/>
        </w:rPr>
        <w:t xml:space="preserve"> Regarding Rel-19 CJT calibration reporting, support to report </w:t>
      </w:r>
      <w:r>
        <w:rPr>
          <w:rFonts w:eastAsia="微软雅黑"/>
          <w:i/>
          <w:iCs/>
          <w:szCs w:val="20"/>
        </w:rPr>
        <w:t xml:space="preserve">an initial phase offset </w:t>
      </w:r>
      <m:oMath>
        <m:sSub>
          <m:sSubPr>
            <m:ctrlPr>
              <w:rPr>
                <w:rFonts w:ascii="Cambria Math" w:eastAsia="微软雅黑" w:hAnsi="Cambria Math"/>
                <w:i/>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 xml:space="preserve">, n=1, 2, …, </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TRP</m:t>
            </m:r>
          </m:sub>
        </m:sSub>
        <m:r>
          <w:rPr>
            <w:rFonts w:ascii="Cambria Math" w:eastAsia="微软雅黑" w:hAnsi="Cambria Math"/>
            <w:szCs w:val="20"/>
          </w:rPr>
          <m:t>-1</m:t>
        </m:r>
      </m:oMath>
      <w:r>
        <w:rPr>
          <w:rFonts w:eastAsia="微软雅黑"/>
          <w:i/>
          <w:iCs/>
          <w:szCs w:val="20"/>
        </w:rPr>
        <w:t xml:space="preserve"> and a phase offset change</w:t>
      </w:r>
      <w:r>
        <w:rPr>
          <w:rFonts w:eastAsia="微软雅黑" w:hint="eastAsia"/>
          <w:i/>
          <w:iCs/>
          <w:szCs w:val="20"/>
        </w:rPr>
        <w:t>/</w:t>
      </w:r>
      <w:r>
        <w:rPr>
          <w:rFonts w:eastAsia="微软雅黑"/>
          <w:i/>
          <w:iCs/>
          <w:szCs w:val="20"/>
        </w:rPr>
        <w:t xml:space="preserve">slope </w:t>
      </w:r>
      <m:oMath>
        <m:r>
          <m:rPr>
            <m:sty m:val="p"/>
          </m:rPr>
          <w:rPr>
            <w:rFonts w:ascii="Cambria Math" w:eastAsia="微软雅黑" w:hAnsi="Cambria Math"/>
            <w:szCs w:val="20"/>
          </w:rPr>
          <m:t>Δ</m:t>
        </m:r>
        <m:sSub>
          <m:sSubPr>
            <m:ctrlPr>
              <w:rPr>
                <w:rFonts w:ascii="Cambria Math" w:eastAsia="微软雅黑" w:hAnsi="Cambria Math"/>
                <w:i/>
                <w:iCs/>
                <w:szCs w:val="20"/>
              </w:rPr>
            </m:ctrlPr>
          </m:sSubPr>
          <m:e>
            <m:r>
              <m:rPr>
                <m:sty m:val="p"/>
              </m:rPr>
              <w:rPr>
                <w:rFonts w:ascii="Cambria Math" w:eastAsia="微软雅黑" w:hAnsi="Cambria Math"/>
                <w:szCs w:val="20"/>
              </w:rPr>
              <m:t>Φ</m:t>
            </m:r>
          </m:e>
          <m:sub>
            <m:r>
              <w:rPr>
                <w:rFonts w:ascii="Cambria Math" w:eastAsia="微软雅黑" w:hAnsi="Cambria Math"/>
                <w:szCs w:val="20"/>
              </w:rPr>
              <m:t>n</m:t>
            </m:r>
          </m:sub>
        </m:sSub>
        <m:r>
          <w:rPr>
            <w:rFonts w:ascii="Cambria Math" w:eastAsia="微软雅黑" w:hAnsi="Cambria Math"/>
            <w:szCs w:val="20"/>
          </w:rPr>
          <m:t xml:space="preserve">, n=1, 2, …, </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TRP</m:t>
            </m:r>
          </m:sub>
        </m:sSub>
        <m:r>
          <w:rPr>
            <w:rFonts w:ascii="Cambria Math" w:eastAsia="微软雅黑" w:hAnsi="Cambria Math"/>
            <w:szCs w:val="20"/>
          </w:rPr>
          <m:t>-1</m:t>
        </m:r>
      </m:oMath>
      <w:r>
        <w:rPr>
          <w:rFonts w:eastAsia="微软雅黑"/>
          <w:i/>
          <w:iCs/>
          <w:szCs w:val="20"/>
        </w:rPr>
        <w:t xml:space="preserve"> over a subband for each TRP.</w:t>
      </w:r>
    </w:p>
    <w:p w:rsidR="0069497D" w:rsidRDefault="0069497D" w:rsidP="0069497D">
      <w:pPr>
        <w:numPr>
          <w:ilvl w:val="0"/>
          <w:numId w:val="19"/>
        </w:numPr>
        <w:tabs>
          <w:tab w:val="clear" w:pos="420"/>
        </w:tabs>
        <w:snapToGrid w:val="0"/>
        <w:spacing w:beforeLines="50" w:before="120" w:afterLines="50" w:after="120" w:line="300" w:lineRule="auto"/>
        <w:rPr>
          <w:rFonts w:eastAsia="微软雅黑"/>
          <w:i/>
          <w:iCs/>
          <w:szCs w:val="20"/>
        </w:rPr>
      </w:pPr>
      <w:r>
        <w:rPr>
          <w:rFonts w:eastAsia="微软雅黑"/>
          <w:i/>
          <w:iCs/>
          <w:szCs w:val="20"/>
        </w:rPr>
        <w:t>For the n-</w:t>
      </w:r>
      <w:proofErr w:type="spellStart"/>
      <w:r>
        <w:rPr>
          <w:rFonts w:eastAsia="微软雅黑"/>
          <w:i/>
          <w:iCs/>
          <w:szCs w:val="20"/>
        </w:rPr>
        <w:t>th</w:t>
      </w:r>
      <w:proofErr w:type="spellEnd"/>
      <w:r>
        <w:rPr>
          <w:rFonts w:eastAsia="微软雅黑"/>
          <w:i/>
          <w:iCs/>
          <w:szCs w:val="20"/>
        </w:rPr>
        <w:t xml:space="preserve"> TRP and the m-</w:t>
      </w:r>
      <w:proofErr w:type="spellStart"/>
      <w:r>
        <w:rPr>
          <w:rFonts w:eastAsia="微软雅黑"/>
          <w:i/>
          <w:iCs/>
          <w:szCs w:val="20"/>
        </w:rPr>
        <w:t>th</w:t>
      </w:r>
      <w:proofErr w:type="spellEnd"/>
      <w:r>
        <w:rPr>
          <w:rFonts w:eastAsia="微软雅黑"/>
          <w:i/>
          <w:iCs/>
          <w:szCs w:val="20"/>
        </w:rPr>
        <w:t xml:space="preserve"> subband, the corresponding phase offset is</w:t>
      </w:r>
    </w:p>
    <w:p w:rsidR="0069497D" w:rsidRDefault="00D2139D" w:rsidP="0069497D">
      <w:pPr>
        <w:tabs>
          <w:tab w:val="left" w:pos="420"/>
        </w:tabs>
        <w:snapToGrid w:val="0"/>
        <w:spacing w:beforeLines="50" w:before="120" w:afterLines="50" w:after="120" w:line="300" w:lineRule="auto"/>
        <w:rPr>
          <w:rFonts w:eastAsia="微软雅黑"/>
          <w:szCs w:val="20"/>
        </w:rPr>
      </w:pPr>
      <m:oMathPara>
        <m:oMath>
          <m:d>
            <m:dPr>
              <m:begChr m:val="{"/>
              <m:endChr m:val=""/>
              <m:ctrlPr>
                <w:rPr>
                  <w:rFonts w:ascii="Cambria Math" w:eastAsia="微软雅黑" w:hAnsi="Cambria Math"/>
                  <w:iCs/>
                  <w:szCs w:val="20"/>
                </w:rPr>
              </m:ctrlPr>
            </m:dPr>
            <m:e>
              <m:eqArr>
                <m:eqArrPr>
                  <m:ctrlPr>
                    <w:rPr>
                      <w:rFonts w:ascii="Cambria Math" w:eastAsia="微软雅黑" w:hAnsi="Cambria Math"/>
                      <w:i/>
                      <w:iCs/>
                      <w:szCs w:val="20"/>
                    </w:rPr>
                  </m:ctrlPr>
                </m:eqArrPr>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 m=1</m:t>
                  </m:r>
                </m:e>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m:t>
                  </m:r>
                  <m:d>
                    <m:dPr>
                      <m:ctrlPr>
                        <w:rPr>
                          <w:rFonts w:ascii="Cambria Math" w:eastAsia="微软雅黑" w:hAnsi="Cambria Math"/>
                          <w:iCs/>
                          <w:szCs w:val="20"/>
                        </w:rPr>
                      </m:ctrlPr>
                    </m:dPr>
                    <m:e>
                      <m:r>
                        <w:rPr>
                          <w:rFonts w:ascii="Cambria Math" w:eastAsia="微软雅黑" w:hAnsi="Cambria Math"/>
                          <w:szCs w:val="20"/>
                        </w:rPr>
                        <m:t>m-1</m:t>
                      </m:r>
                    </m:e>
                  </m:d>
                  <m:r>
                    <m:rPr>
                      <m:sty m:val="p"/>
                    </m:rPr>
                    <w:rPr>
                      <w:rFonts w:ascii="Cambria Math" w:eastAsia="微软雅黑" w:hAnsi="Cambria Math"/>
                      <w:szCs w:val="20"/>
                    </w:rPr>
                    <m:t>∙</m:t>
                  </m:r>
                  <m:sSub>
                    <m:sSubPr>
                      <m:ctrlPr>
                        <w:rPr>
                          <w:rFonts w:ascii="Cambria Math" w:eastAsia="微软雅黑" w:hAnsi="Cambria Math"/>
                          <w:iCs/>
                          <w:szCs w:val="20"/>
                        </w:rPr>
                      </m:ctrlPr>
                    </m:sSubPr>
                    <m:e>
                      <m:r>
                        <m:rPr>
                          <m:sty m:val="p"/>
                        </m:rPr>
                        <w:rPr>
                          <w:rFonts w:ascii="Cambria Math" w:eastAsia="微软雅黑" w:hAnsi="Cambria Math"/>
                          <w:szCs w:val="20"/>
                        </w:rPr>
                        <m:t>ΔΦ</m:t>
                      </m:r>
                    </m:e>
                    <m:sub>
                      <m:r>
                        <w:rPr>
                          <w:rFonts w:ascii="Cambria Math" w:eastAsia="微软雅黑" w:hAnsi="Cambria Math"/>
                          <w:szCs w:val="20"/>
                        </w:rPr>
                        <m:t>n</m:t>
                      </m:r>
                    </m:sub>
                  </m:sSub>
                  <m:r>
                    <w:rPr>
                      <w:rFonts w:ascii="Cambria Math" w:eastAsia="微软雅黑" w:hAnsi="Cambria Math"/>
                      <w:szCs w:val="20"/>
                    </w:rPr>
                    <m:t>, m&gt;1</m:t>
                  </m:r>
                </m:e>
              </m:eqArr>
            </m:e>
          </m:d>
        </m:oMath>
      </m:oMathPara>
    </w:p>
    <w:p w:rsidR="0069497D" w:rsidRDefault="0069497D" w:rsidP="0069497D">
      <w:pPr>
        <w:rPr>
          <w:i/>
          <w:iCs/>
        </w:rPr>
      </w:pPr>
      <w:r>
        <w:rPr>
          <w:rFonts w:hint="eastAsia"/>
          <w:b/>
          <w:bCs/>
          <w:i/>
          <w:iCs/>
        </w:rPr>
        <w:t xml:space="preserve">Proposal </w:t>
      </w:r>
      <w:r>
        <w:rPr>
          <w:b/>
          <w:bCs/>
          <w:i/>
          <w:iCs/>
        </w:rPr>
        <w:t>30</w:t>
      </w:r>
      <w:r>
        <w:rPr>
          <w:rFonts w:hint="eastAsia"/>
          <w:b/>
          <w:bCs/>
          <w:i/>
          <w:iCs/>
        </w:rPr>
        <w:t>:</w:t>
      </w:r>
      <w:r>
        <w:rPr>
          <w:rFonts w:hint="eastAsia"/>
          <w:i/>
          <w:iCs/>
        </w:rPr>
        <w:t xml:space="preserve"> </w:t>
      </w:r>
      <w:r>
        <w:rPr>
          <w:rFonts w:eastAsia="微软雅黑"/>
          <w:i/>
          <w:szCs w:val="20"/>
        </w:rPr>
        <w:t>Regarding Rel-19 CJT calibration reporting,</w:t>
      </w:r>
      <w:r>
        <w:rPr>
          <w:rFonts w:hint="eastAsia"/>
          <w:i/>
          <w:iCs/>
        </w:rPr>
        <w:t xml:space="preserve"> </w:t>
      </w:r>
      <w:r>
        <w:rPr>
          <w:i/>
          <w:iCs/>
        </w:rPr>
        <w:t xml:space="preserve">support at least </w:t>
      </w:r>
      <w:r>
        <w:rPr>
          <w:rFonts w:hint="eastAsia"/>
          <w:i/>
          <w:iCs/>
        </w:rPr>
        <w:t>the followings</w:t>
      </w:r>
      <w:r>
        <w:rPr>
          <w:i/>
          <w:iCs/>
        </w:rPr>
        <w:t xml:space="preserve"> report quantities</w:t>
      </w:r>
      <w:r>
        <w:rPr>
          <w:rFonts w:hint="eastAsia"/>
          <w:i/>
          <w:iCs/>
        </w:rPr>
        <w:t>:</w:t>
      </w:r>
    </w:p>
    <w:p w:rsidR="0069497D" w:rsidRDefault="0069497D" w:rsidP="0069497D">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delay information only”,</w:t>
      </w:r>
    </w:p>
    <w:p w:rsidR="0069497D" w:rsidRDefault="0069497D" w:rsidP="0069497D">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frequency information”,</w:t>
      </w:r>
    </w:p>
    <w:p w:rsidR="0069497D" w:rsidRDefault="0069497D" w:rsidP="0069497D">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phase information”,</w:t>
      </w:r>
    </w:p>
    <w:p w:rsidR="0069497D" w:rsidRDefault="0069497D" w:rsidP="0069497D">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delay information and phase information”,</w:t>
      </w:r>
    </w:p>
    <w:p w:rsidR="0069497D" w:rsidRDefault="0069497D" w:rsidP="0069497D">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delay information and frequency information”, and</w:t>
      </w:r>
    </w:p>
    <w:p w:rsidR="0069497D" w:rsidRDefault="0069497D" w:rsidP="0069497D">
      <w:pPr>
        <w:numPr>
          <w:ilvl w:val="0"/>
          <w:numId w:val="19"/>
        </w:numPr>
        <w:snapToGrid w:val="0"/>
        <w:spacing w:beforeLines="50" w:before="120" w:afterLines="50" w:after="120" w:line="300" w:lineRule="auto"/>
        <w:rPr>
          <w:rFonts w:eastAsia="微软雅黑"/>
          <w:i/>
          <w:iCs/>
          <w:szCs w:val="20"/>
        </w:rPr>
      </w:pPr>
      <w:r>
        <w:rPr>
          <w:rFonts w:eastAsia="微软雅黑"/>
          <w:i/>
          <w:iCs/>
          <w:szCs w:val="20"/>
        </w:rPr>
        <w:t>“Inter-TRP delay information and frequency information and phase information”.</w:t>
      </w:r>
    </w:p>
    <w:p w:rsidR="0069497D" w:rsidRDefault="0069497D" w:rsidP="0069497D">
      <w:pPr>
        <w:spacing w:after="120"/>
        <w:rPr>
          <w:i/>
          <w:iCs/>
        </w:rPr>
      </w:pPr>
      <w:r>
        <w:rPr>
          <w:rFonts w:hint="eastAsia"/>
          <w:b/>
          <w:bCs/>
          <w:i/>
          <w:iCs/>
        </w:rPr>
        <w:t xml:space="preserve">Proposal </w:t>
      </w:r>
      <w:r>
        <w:rPr>
          <w:b/>
          <w:bCs/>
          <w:i/>
          <w:iCs/>
        </w:rPr>
        <w:t>31</w:t>
      </w:r>
      <w:r>
        <w:rPr>
          <w:rFonts w:hint="eastAsia"/>
          <w:b/>
          <w:bCs/>
          <w:i/>
          <w:iCs/>
        </w:rPr>
        <w:t xml:space="preserve">: </w:t>
      </w:r>
      <w:r>
        <w:rPr>
          <w:rFonts w:eastAsia="微软雅黑"/>
          <w:i/>
          <w:szCs w:val="20"/>
        </w:rPr>
        <w:t>Regarding Rel-19 CJT calibration reporting, support refining CSI-RS configuration for CJT-CSI by introducing a new RRC ‘delay-pre-compensation parameter’ per CSI-RS resource.</w:t>
      </w:r>
    </w:p>
    <w:p w:rsidR="0069497D" w:rsidRDefault="0069497D" w:rsidP="0069497D">
      <w:pPr>
        <w:numPr>
          <w:ilvl w:val="0"/>
          <w:numId w:val="19"/>
        </w:numPr>
        <w:snapToGrid w:val="0"/>
        <w:spacing w:beforeLines="50" w:before="120" w:afterLines="50" w:after="120" w:line="300" w:lineRule="auto"/>
        <w:rPr>
          <w:b/>
          <w:bCs/>
          <w:sz w:val="21"/>
          <w:szCs w:val="21"/>
        </w:rPr>
      </w:pPr>
      <w:r>
        <w:rPr>
          <w:rFonts w:eastAsia="微软雅黑"/>
          <w:i/>
          <w:iCs/>
          <w:szCs w:val="20"/>
        </w:rPr>
        <w:t>The</w:t>
      </w:r>
      <w:r>
        <w:rPr>
          <w:rFonts w:eastAsia="微软雅黑" w:hint="eastAsia"/>
          <w:i/>
          <w:iCs/>
          <w:szCs w:val="20"/>
        </w:rPr>
        <w:t xml:space="preserve"> UE </w:t>
      </w:r>
      <w:r>
        <w:rPr>
          <w:rFonts w:eastAsia="微软雅黑"/>
          <w:i/>
          <w:iCs/>
          <w:szCs w:val="20"/>
        </w:rPr>
        <w:t>calculates the</w:t>
      </w:r>
      <w:r>
        <w:rPr>
          <w:rFonts w:eastAsia="微软雅黑" w:hint="eastAsia"/>
          <w:i/>
          <w:iCs/>
          <w:szCs w:val="20"/>
        </w:rPr>
        <w:t xml:space="preserve"> CJT </w:t>
      </w:r>
      <w:r>
        <w:rPr>
          <w:rFonts w:eastAsia="微软雅黑" w:hint="eastAsia"/>
          <w:i/>
          <w:szCs w:val="20"/>
        </w:rPr>
        <w:t>CSI</w:t>
      </w:r>
      <w:r>
        <w:rPr>
          <w:rFonts w:eastAsia="微软雅黑" w:hint="eastAsia"/>
          <w:i/>
          <w:iCs/>
          <w:szCs w:val="20"/>
        </w:rPr>
        <w:t xml:space="preserve">/CQI through </w:t>
      </w:r>
      <w:r>
        <w:rPr>
          <w:rFonts w:eastAsia="微软雅黑"/>
          <w:i/>
          <w:iCs/>
          <w:szCs w:val="20"/>
        </w:rPr>
        <w:t>the normal CSI-RS(s)</w:t>
      </w:r>
      <w:r>
        <w:rPr>
          <w:rFonts w:eastAsia="微软雅黑" w:hint="eastAsia"/>
          <w:i/>
          <w:iCs/>
          <w:szCs w:val="20"/>
        </w:rPr>
        <w:t>, but assuming</w:t>
      </w:r>
      <w:r>
        <w:rPr>
          <w:rFonts w:eastAsia="微软雅黑"/>
          <w:i/>
          <w:iCs/>
          <w:szCs w:val="20"/>
        </w:rPr>
        <w:t xml:space="preserve"> that</w:t>
      </w:r>
      <w:r>
        <w:rPr>
          <w:rFonts w:eastAsia="微软雅黑" w:hint="eastAsia"/>
          <w:i/>
          <w:iCs/>
          <w:szCs w:val="20"/>
        </w:rPr>
        <w:t xml:space="preserve"> </w:t>
      </w:r>
      <w:r>
        <w:rPr>
          <w:rFonts w:eastAsia="微软雅黑"/>
          <w:i/>
          <w:iCs/>
          <w:szCs w:val="20"/>
        </w:rPr>
        <w:t xml:space="preserve">the </w:t>
      </w:r>
      <w:r>
        <w:rPr>
          <w:rFonts w:eastAsia="微软雅黑"/>
          <w:i/>
          <w:szCs w:val="20"/>
        </w:rPr>
        <w:t xml:space="preserve">delay-pre-compensation parameter is </w:t>
      </w:r>
      <w:r>
        <w:rPr>
          <w:rFonts w:eastAsia="微软雅黑"/>
          <w:i/>
          <w:iCs/>
          <w:szCs w:val="20"/>
        </w:rPr>
        <w:t>used for pre-compensation in PDSCH reception</w:t>
      </w:r>
      <w:r>
        <w:rPr>
          <w:rFonts w:eastAsia="微软雅黑" w:hint="eastAsia"/>
          <w:i/>
          <w:iCs/>
          <w:szCs w:val="20"/>
        </w:rPr>
        <w:t>.</w:t>
      </w:r>
    </w:p>
    <w:p w:rsidR="0069497D" w:rsidRPr="0069497D" w:rsidRDefault="0069497D" w:rsidP="002A74A3">
      <w:pPr>
        <w:numPr>
          <w:ilvl w:val="0"/>
          <w:numId w:val="19"/>
        </w:numPr>
        <w:snapToGrid w:val="0"/>
        <w:spacing w:beforeLines="50" w:before="120" w:afterLines="50" w:after="120" w:line="300" w:lineRule="auto"/>
        <w:rPr>
          <w:rFonts w:eastAsia="微软雅黑"/>
          <w:szCs w:val="20"/>
        </w:rPr>
      </w:pPr>
      <w:r>
        <w:rPr>
          <w:rFonts w:eastAsia="微软雅黑"/>
          <w:i/>
          <w:iCs/>
          <w:szCs w:val="20"/>
        </w:rPr>
        <w:t>Note: The TRPs transmit normal cell-specific CSI-RS without delay misalignment pre-compensation.</w:t>
      </w:r>
    </w:p>
    <w:p w:rsidR="0069497D" w:rsidRPr="002A74A3" w:rsidRDefault="0069497D" w:rsidP="002A74A3">
      <w:pPr>
        <w:tabs>
          <w:tab w:val="left" w:pos="420"/>
        </w:tabs>
        <w:snapToGrid w:val="0"/>
        <w:spacing w:beforeLines="50" w:before="120" w:afterLines="50" w:after="120" w:line="300" w:lineRule="auto"/>
        <w:rPr>
          <w:rFonts w:eastAsia="微软雅黑"/>
          <w:i/>
          <w:iCs/>
          <w:szCs w:val="20"/>
        </w:rPr>
      </w:pPr>
      <w:r w:rsidRPr="002A74A3">
        <w:rPr>
          <w:rFonts w:eastAsia="微软雅黑"/>
          <w:b/>
          <w:bCs/>
          <w:i/>
          <w:iCs/>
          <w:szCs w:val="20"/>
        </w:rPr>
        <w:t>Proposal 32:</w:t>
      </w:r>
      <w:r w:rsidRPr="002A74A3">
        <w:rPr>
          <w:rFonts w:eastAsia="微软雅黑"/>
          <w:i/>
          <w:iCs/>
          <w:szCs w:val="20"/>
        </w:rPr>
        <w:t xml:space="preserve"> </w:t>
      </w:r>
      <w:r w:rsidRPr="002A74A3">
        <w:rPr>
          <w:rFonts w:eastAsia="微软雅黑"/>
          <w:i/>
          <w:szCs w:val="20"/>
        </w:rPr>
        <w:t>Regarding Rel-19 CJT calibration reporting,</w:t>
      </w:r>
      <w:r w:rsidRPr="002A74A3">
        <w:rPr>
          <w:rFonts w:eastAsia="微软雅黑"/>
          <w:i/>
          <w:iCs/>
          <w:szCs w:val="20"/>
        </w:rPr>
        <w:t xml:space="preserve"> support indicating two TCI states (QCL-</w:t>
      </w:r>
      <w:proofErr w:type="spellStart"/>
      <w:r w:rsidRPr="002A74A3">
        <w:rPr>
          <w:rFonts w:eastAsia="微软雅黑"/>
          <w:i/>
          <w:iCs/>
          <w:szCs w:val="20"/>
        </w:rPr>
        <w:t>TypeA</w:t>
      </w:r>
      <w:proofErr w:type="spellEnd"/>
      <w:r w:rsidRPr="002A74A3">
        <w:rPr>
          <w:rFonts w:eastAsia="微软雅黑"/>
          <w:i/>
          <w:iCs/>
          <w:szCs w:val="20"/>
        </w:rPr>
        <w:t xml:space="preserve"> + QCL-</w:t>
      </w:r>
      <w:proofErr w:type="spellStart"/>
      <w:r w:rsidRPr="002A74A3">
        <w:rPr>
          <w:rFonts w:eastAsia="微软雅黑"/>
          <w:i/>
          <w:iCs/>
          <w:szCs w:val="20"/>
        </w:rPr>
        <w:t>TypeB</w:t>
      </w:r>
      <w:proofErr w:type="spellEnd"/>
      <w:r w:rsidRPr="002A74A3">
        <w:rPr>
          <w:rFonts w:eastAsia="微软雅黑"/>
          <w:i/>
          <w:iCs/>
          <w:szCs w:val="20"/>
        </w:rPr>
        <w:t>) for PDSCH reception.</w:t>
      </w:r>
    </w:p>
    <w:p w:rsidR="0069497D" w:rsidRPr="0069497D" w:rsidRDefault="0069497D" w:rsidP="002A74A3">
      <w:pPr>
        <w:pStyle w:val="aff2"/>
        <w:numPr>
          <w:ilvl w:val="0"/>
          <w:numId w:val="19"/>
        </w:numPr>
        <w:snapToGrid w:val="0"/>
        <w:spacing w:beforeLines="50" w:before="120" w:afterLines="50" w:after="120" w:line="300" w:lineRule="auto"/>
        <w:ind w:firstLineChars="0"/>
        <w:rPr>
          <w:rFonts w:eastAsia="微软雅黑"/>
          <w:szCs w:val="20"/>
        </w:rPr>
      </w:pPr>
      <w:r w:rsidRPr="0069497D">
        <w:rPr>
          <w:rFonts w:eastAsia="微软雅黑"/>
          <w:i/>
          <w:iCs/>
          <w:szCs w:val="20"/>
        </w:rPr>
        <w:t>Note: I</w:t>
      </w:r>
      <w:r w:rsidRPr="0069497D">
        <w:rPr>
          <w:rFonts w:eastAsia="微软雅黑" w:hint="eastAsia"/>
          <w:i/>
          <w:iCs/>
          <w:szCs w:val="20"/>
        </w:rPr>
        <w:t>t implies that the</w:t>
      </w:r>
      <w:r w:rsidRPr="0069497D">
        <w:rPr>
          <w:rFonts w:eastAsia="微软雅黑"/>
          <w:i/>
          <w:iCs/>
          <w:szCs w:val="20"/>
        </w:rPr>
        <w:t xml:space="preserve"> delay misalignment</w:t>
      </w:r>
      <w:r w:rsidRPr="0069497D">
        <w:rPr>
          <w:rFonts w:eastAsia="微软雅黑" w:hint="eastAsia"/>
          <w:i/>
          <w:iCs/>
          <w:szCs w:val="20"/>
        </w:rPr>
        <w:t xml:space="preserve"> is</w:t>
      </w:r>
      <w:r w:rsidRPr="0069497D">
        <w:rPr>
          <w:rFonts w:eastAsia="微软雅黑"/>
          <w:i/>
          <w:iCs/>
          <w:szCs w:val="20"/>
        </w:rPr>
        <w:t xml:space="preserve"> pre-compensat</w:t>
      </w:r>
      <w:r w:rsidRPr="0069497D">
        <w:rPr>
          <w:rFonts w:eastAsia="微软雅黑" w:hint="eastAsia"/>
          <w:i/>
          <w:iCs/>
          <w:szCs w:val="20"/>
        </w:rPr>
        <w:t>ed</w:t>
      </w:r>
      <w:r w:rsidRPr="0069497D">
        <w:rPr>
          <w:rFonts w:eastAsia="微软雅黑"/>
          <w:i/>
          <w:iCs/>
          <w:szCs w:val="20"/>
        </w:rPr>
        <w:t xml:space="preserve"> for PDSCH </w:t>
      </w:r>
      <w:r w:rsidRPr="0069497D">
        <w:rPr>
          <w:rFonts w:eastAsia="微软雅黑" w:hint="eastAsia"/>
          <w:i/>
          <w:iCs/>
          <w:szCs w:val="20"/>
        </w:rPr>
        <w:t>reception</w:t>
      </w:r>
      <w:r w:rsidRPr="0069497D">
        <w:rPr>
          <w:rFonts w:eastAsia="微软雅黑"/>
          <w:i/>
          <w:iCs/>
          <w:szCs w:val="20"/>
        </w:rPr>
        <w:t>.</w:t>
      </w:r>
    </w:p>
    <w:p w:rsidR="009B70BD" w:rsidRDefault="0051047F">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rsidR="009B70BD" w:rsidRDefault="0051047F">
      <w:pPr>
        <w:pStyle w:val="NoSpacing1"/>
        <w:numPr>
          <w:ilvl w:val="0"/>
          <w:numId w:val="22"/>
        </w:numPr>
        <w:snapToGrid w:val="0"/>
        <w:jc w:val="both"/>
        <w:rPr>
          <w:bCs/>
          <w:sz w:val="20"/>
          <w:szCs w:val="20"/>
        </w:rPr>
      </w:pPr>
      <w:r>
        <w:rPr>
          <w:bCs/>
          <w:sz w:val="20"/>
          <w:szCs w:val="20"/>
        </w:rPr>
        <w:t>RP-2</w:t>
      </w:r>
      <w:r>
        <w:rPr>
          <w:rFonts w:hint="eastAsia"/>
          <w:bCs/>
          <w:sz w:val="20"/>
          <w:szCs w:val="20"/>
        </w:rPr>
        <w:t>34007</w:t>
      </w:r>
      <w:r>
        <w:rPr>
          <w:bCs/>
          <w:sz w:val="20"/>
          <w:szCs w:val="20"/>
        </w:rPr>
        <w:t xml:space="preserve">, New WID: </w:t>
      </w:r>
      <w:r>
        <w:rPr>
          <w:rFonts w:hint="eastAsia"/>
          <w:bCs/>
          <w:sz w:val="20"/>
          <w:szCs w:val="20"/>
        </w:rPr>
        <w:t xml:space="preserve">NR </w:t>
      </w:r>
      <w:r>
        <w:rPr>
          <w:bCs/>
          <w:sz w:val="20"/>
          <w:szCs w:val="20"/>
        </w:rPr>
        <w:t xml:space="preserve">MIMO Evolution </w:t>
      </w:r>
      <w:r>
        <w:rPr>
          <w:rFonts w:hint="eastAsia"/>
          <w:bCs/>
          <w:sz w:val="20"/>
          <w:szCs w:val="20"/>
        </w:rPr>
        <w:t>Phase 5</w:t>
      </w:r>
      <w:r>
        <w:rPr>
          <w:bCs/>
          <w:sz w:val="20"/>
          <w:szCs w:val="20"/>
        </w:rPr>
        <w:t>, Samsung (Moderator)</w:t>
      </w:r>
    </w:p>
    <w:p w:rsidR="00C65196" w:rsidRDefault="00C65196">
      <w:pPr>
        <w:pStyle w:val="NoSpacing1"/>
        <w:numPr>
          <w:ilvl w:val="0"/>
          <w:numId w:val="22"/>
        </w:numPr>
        <w:snapToGrid w:val="0"/>
        <w:jc w:val="both"/>
        <w:rPr>
          <w:bCs/>
          <w:sz w:val="20"/>
          <w:szCs w:val="20"/>
        </w:rPr>
      </w:pPr>
      <w:r w:rsidRPr="00C65196">
        <w:rPr>
          <w:bCs/>
          <w:sz w:val="20"/>
          <w:szCs w:val="20"/>
        </w:rPr>
        <w:lastRenderedPageBreak/>
        <w:t xml:space="preserve">R. Ji et al., “Extra </w:t>
      </w:r>
      <w:proofErr w:type="spellStart"/>
      <w:r w:rsidRPr="00C65196">
        <w:rPr>
          <w:bCs/>
          <w:sz w:val="20"/>
          <w:szCs w:val="20"/>
        </w:rPr>
        <w:t>DoF</w:t>
      </w:r>
      <w:proofErr w:type="spellEnd"/>
      <w:r w:rsidRPr="00C65196">
        <w:rPr>
          <w:bCs/>
          <w:sz w:val="20"/>
          <w:szCs w:val="20"/>
        </w:rPr>
        <w:t xml:space="preserve"> of Near-Field Holographic MIMO Communications Leveraging Evanescent Waves,” IEEE </w:t>
      </w:r>
      <w:proofErr w:type="spellStart"/>
      <w:r w:rsidRPr="00C65196">
        <w:rPr>
          <w:bCs/>
          <w:sz w:val="20"/>
          <w:szCs w:val="20"/>
        </w:rPr>
        <w:t>Wirel</w:t>
      </w:r>
      <w:proofErr w:type="spellEnd"/>
      <w:r w:rsidRPr="00C65196">
        <w:rPr>
          <w:bCs/>
          <w:sz w:val="20"/>
          <w:szCs w:val="20"/>
        </w:rPr>
        <w:t xml:space="preserve">. </w:t>
      </w:r>
      <w:proofErr w:type="spellStart"/>
      <w:r w:rsidRPr="00C65196">
        <w:rPr>
          <w:bCs/>
          <w:sz w:val="20"/>
          <w:szCs w:val="20"/>
        </w:rPr>
        <w:t>Commun</w:t>
      </w:r>
      <w:proofErr w:type="spellEnd"/>
      <w:r w:rsidRPr="00C65196">
        <w:rPr>
          <w:bCs/>
          <w:sz w:val="20"/>
          <w:szCs w:val="20"/>
        </w:rPr>
        <w:t xml:space="preserve">. Lett., vol. 12, no. 4, pp. 580–584, Apr. 2023, </w:t>
      </w:r>
      <w:proofErr w:type="spellStart"/>
      <w:r w:rsidRPr="00C65196">
        <w:rPr>
          <w:bCs/>
          <w:sz w:val="20"/>
          <w:szCs w:val="20"/>
        </w:rPr>
        <w:t>doi</w:t>
      </w:r>
      <w:proofErr w:type="spellEnd"/>
      <w:r w:rsidRPr="00C65196">
        <w:rPr>
          <w:bCs/>
          <w:sz w:val="20"/>
          <w:szCs w:val="20"/>
        </w:rPr>
        <w:t>: 10.1109/LWC.2023.3234003.</w:t>
      </w:r>
    </w:p>
    <w:p w:rsidR="00C65196" w:rsidRDefault="00C65196">
      <w:pPr>
        <w:pStyle w:val="NoSpacing1"/>
        <w:numPr>
          <w:ilvl w:val="0"/>
          <w:numId w:val="22"/>
        </w:numPr>
        <w:snapToGrid w:val="0"/>
        <w:jc w:val="both"/>
        <w:rPr>
          <w:bCs/>
          <w:sz w:val="20"/>
          <w:szCs w:val="20"/>
        </w:rPr>
      </w:pPr>
      <w:r w:rsidRPr="00C65196">
        <w:rPr>
          <w:bCs/>
          <w:sz w:val="20"/>
          <w:szCs w:val="20"/>
        </w:rPr>
        <w:t xml:space="preserve">A. </w:t>
      </w:r>
      <w:proofErr w:type="spellStart"/>
      <w:r w:rsidRPr="00C65196">
        <w:rPr>
          <w:bCs/>
          <w:sz w:val="20"/>
          <w:szCs w:val="20"/>
        </w:rPr>
        <w:t>Pizzo</w:t>
      </w:r>
      <w:proofErr w:type="spellEnd"/>
      <w:r w:rsidRPr="00C65196">
        <w:rPr>
          <w:bCs/>
          <w:sz w:val="20"/>
          <w:szCs w:val="20"/>
        </w:rPr>
        <w:t xml:space="preserve">, T. L. Marzetta, and L. Sanguinetti, “Spatially-Stationary Model for Holographic MIMO Small-Scale Fading,” IEEE J. Sel. Areas </w:t>
      </w:r>
      <w:proofErr w:type="spellStart"/>
      <w:r w:rsidRPr="00C65196">
        <w:rPr>
          <w:bCs/>
          <w:sz w:val="20"/>
          <w:szCs w:val="20"/>
        </w:rPr>
        <w:t>Commun</w:t>
      </w:r>
      <w:proofErr w:type="spellEnd"/>
      <w:r w:rsidRPr="00C65196">
        <w:rPr>
          <w:bCs/>
          <w:sz w:val="20"/>
          <w:szCs w:val="20"/>
        </w:rPr>
        <w:t xml:space="preserve">., vol. 38, no. 9, pp. 1964–1979, 2020, </w:t>
      </w:r>
      <w:proofErr w:type="spellStart"/>
      <w:r w:rsidRPr="00C65196">
        <w:rPr>
          <w:bCs/>
          <w:sz w:val="20"/>
          <w:szCs w:val="20"/>
        </w:rPr>
        <w:t>doi</w:t>
      </w:r>
      <w:proofErr w:type="spellEnd"/>
      <w:r w:rsidRPr="00C65196">
        <w:rPr>
          <w:bCs/>
          <w:sz w:val="20"/>
          <w:szCs w:val="20"/>
        </w:rPr>
        <w:t>: 10.1109/JSAC.2020.3000877.</w:t>
      </w:r>
    </w:p>
    <w:p w:rsidR="00C65196" w:rsidRDefault="00C65196">
      <w:pPr>
        <w:pStyle w:val="NoSpacing1"/>
        <w:numPr>
          <w:ilvl w:val="0"/>
          <w:numId w:val="22"/>
        </w:numPr>
        <w:snapToGrid w:val="0"/>
        <w:jc w:val="both"/>
        <w:rPr>
          <w:bCs/>
          <w:sz w:val="20"/>
          <w:szCs w:val="20"/>
        </w:rPr>
      </w:pPr>
      <w:r w:rsidRPr="00C65196">
        <w:rPr>
          <w:bCs/>
          <w:sz w:val="20"/>
          <w:szCs w:val="20"/>
        </w:rPr>
        <w:t xml:space="preserve">A. </w:t>
      </w:r>
      <w:proofErr w:type="spellStart"/>
      <w:r w:rsidRPr="00C65196">
        <w:rPr>
          <w:bCs/>
          <w:sz w:val="20"/>
          <w:szCs w:val="20"/>
        </w:rPr>
        <w:t>Pizzo</w:t>
      </w:r>
      <w:proofErr w:type="spellEnd"/>
      <w:r w:rsidRPr="00C65196">
        <w:rPr>
          <w:bCs/>
          <w:sz w:val="20"/>
          <w:szCs w:val="20"/>
        </w:rPr>
        <w:t xml:space="preserve">, T. L. Marzetta, and L. Sanguinetti, “Degrees of Freedom of Holographic MIMO Channels,” in 2020 IEEE 21st International Workshop on Signal Processing Advances in Wireless Communications (SPAWC), 2020, pp. 1–5. </w:t>
      </w:r>
      <w:proofErr w:type="spellStart"/>
      <w:r w:rsidRPr="00C65196">
        <w:rPr>
          <w:bCs/>
          <w:sz w:val="20"/>
          <w:szCs w:val="20"/>
        </w:rPr>
        <w:t>doi</w:t>
      </w:r>
      <w:proofErr w:type="spellEnd"/>
      <w:r w:rsidRPr="00C65196">
        <w:rPr>
          <w:bCs/>
          <w:sz w:val="20"/>
          <w:szCs w:val="20"/>
        </w:rPr>
        <w:t>: 10.1109/SPAWC48557.2020.9154219.</w:t>
      </w:r>
    </w:p>
    <w:p w:rsidR="009B70BD" w:rsidRDefault="0051047F">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Appendix</w:t>
      </w:r>
    </w:p>
    <w:p w:rsidR="009B70BD" w:rsidRDefault="0051047F">
      <w:pPr>
        <w:snapToGrid w:val="0"/>
        <w:spacing w:beforeLines="30" w:before="72" w:afterLines="30" w:after="72" w:line="288" w:lineRule="auto"/>
        <w:jc w:val="center"/>
        <w:rPr>
          <w:rFonts w:eastAsia="微软雅黑"/>
          <w:szCs w:val="20"/>
          <w:u w:val="single"/>
        </w:rPr>
      </w:pPr>
      <w:r>
        <w:rPr>
          <w:rFonts w:eastAsia="微软雅黑"/>
          <w:b/>
          <w:szCs w:val="20"/>
        </w:rPr>
        <w:t>Table</w:t>
      </w:r>
      <w:r>
        <w:rPr>
          <w:rFonts w:eastAsia="微软雅黑" w:hint="eastAsia"/>
          <w:b/>
          <w:szCs w:val="20"/>
        </w:rPr>
        <w:t xml:space="preserve"> </w:t>
      </w:r>
      <w:r w:rsidR="00C65196">
        <w:rPr>
          <w:rFonts w:eastAsia="微软雅黑"/>
          <w:b/>
          <w:szCs w:val="20"/>
        </w:rPr>
        <w:t>3</w:t>
      </w:r>
      <w:r>
        <w:rPr>
          <w:rFonts w:eastAsia="微软雅黑"/>
          <w:szCs w:val="20"/>
        </w:rPr>
        <w:t xml:space="preserve"> SLS evaluation assumption for </w:t>
      </w:r>
      <w:r>
        <w:rPr>
          <w:rFonts w:eastAsia="微软雅黑" w:hint="eastAsia"/>
          <w:szCs w:val="20"/>
        </w:rPr>
        <w:t>more than 32T</w:t>
      </w:r>
      <w:r>
        <w:rPr>
          <w:rFonts w:eastAsia="微软雅黑"/>
          <w:szCs w:val="20"/>
        </w:rPr>
        <w:t xml:space="preserve"> related </w:t>
      </w:r>
      <w:r>
        <w:rPr>
          <w:rFonts w:eastAsia="微软雅黑" w:hint="eastAsia"/>
          <w:szCs w:val="20"/>
        </w:rPr>
        <w:t>Type-I/</w:t>
      </w:r>
      <w:r>
        <w:rPr>
          <w:rFonts w:eastAsia="微软雅黑"/>
          <w:szCs w:val="20"/>
        </w:rPr>
        <w:t>Type-II codebook</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4504"/>
      </w:tblGrid>
      <w:tr w:rsidR="009B70BD">
        <w:trPr>
          <w:trHeight w:val="284"/>
          <w:jc w:val="center"/>
        </w:trPr>
        <w:tc>
          <w:tcPr>
            <w:tcW w:w="3392" w:type="dxa"/>
            <w:shd w:val="clear" w:color="000000" w:fill="BFBFBF" w:themeFill="background1" w:themeFillShade="BF"/>
            <w:noWrap/>
            <w:vAlign w:val="center"/>
          </w:tcPr>
          <w:p w:rsidR="009B70BD" w:rsidRDefault="0051047F">
            <w:pPr>
              <w:spacing w:after="0"/>
              <w:jc w:val="center"/>
              <w:rPr>
                <w:b/>
                <w:bCs/>
                <w:color w:val="000000"/>
                <w:sz w:val="18"/>
                <w:szCs w:val="18"/>
              </w:rPr>
            </w:pPr>
            <w:r>
              <w:rPr>
                <w:b/>
                <w:bCs/>
                <w:color w:val="000000"/>
                <w:sz w:val="18"/>
                <w:szCs w:val="18"/>
              </w:rPr>
              <w:t>Parameter</w:t>
            </w:r>
          </w:p>
        </w:tc>
        <w:tc>
          <w:tcPr>
            <w:tcW w:w="4504" w:type="dxa"/>
            <w:shd w:val="clear" w:color="000000" w:fill="BFBFBF" w:themeFill="background1" w:themeFillShade="BF"/>
            <w:noWrap/>
            <w:vAlign w:val="center"/>
          </w:tcPr>
          <w:p w:rsidR="009B70BD" w:rsidRDefault="0051047F">
            <w:pPr>
              <w:spacing w:after="0"/>
              <w:jc w:val="center"/>
              <w:rPr>
                <w:b/>
                <w:bCs/>
                <w:color w:val="000000"/>
                <w:sz w:val="18"/>
                <w:szCs w:val="18"/>
              </w:rPr>
            </w:pPr>
            <w:r>
              <w:rPr>
                <w:b/>
                <w:bCs/>
                <w:color w:val="000000"/>
                <w:sz w:val="18"/>
                <w:szCs w:val="18"/>
              </w:rPr>
              <w:t>Value</w:t>
            </w:r>
          </w:p>
        </w:tc>
      </w:tr>
      <w:tr w:rsidR="009B70BD">
        <w:trPr>
          <w:trHeight w:val="91"/>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Carrier Frequency</w:t>
            </w:r>
          </w:p>
        </w:tc>
        <w:tc>
          <w:tcPr>
            <w:tcW w:w="4504" w:type="dxa"/>
            <w:shd w:val="clear" w:color="auto" w:fill="auto"/>
            <w:noWrap/>
            <w:vAlign w:val="center"/>
          </w:tcPr>
          <w:p w:rsidR="009B70BD" w:rsidRDefault="0051047F">
            <w:pPr>
              <w:spacing w:after="0"/>
              <w:rPr>
                <w:color w:val="000000"/>
                <w:sz w:val="18"/>
                <w:szCs w:val="18"/>
              </w:rPr>
            </w:pPr>
            <w:r>
              <w:rPr>
                <w:rFonts w:hint="eastAsia"/>
                <w:color w:val="000000"/>
                <w:sz w:val="18"/>
                <w:szCs w:val="18"/>
              </w:rPr>
              <w:t>6</w:t>
            </w:r>
            <w:r>
              <w:rPr>
                <w:color w:val="000000"/>
                <w:sz w:val="18"/>
                <w:szCs w:val="18"/>
              </w:rPr>
              <w:t>GHz</w:t>
            </w:r>
          </w:p>
        </w:tc>
      </w:tr>
      <w:tr w:rsidR="009B70BD">
        <w:trPr>
          <w:trHeight w:val="285"/>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Channel Model</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According to the TR 38.901</w:t>
            </w:r>
          </w:p>
          <w:p w:rsidR="009B70BD" w:rsidRDefault="0051047F">
            <w:pPr>
              <w:pStyle w:val="TAL"/>
              <w:rPr>
                <w:rFonts w:ascii="Times New Roman" w:hAnsi="Times New Roman"/>
                <w:color w:val="000000"/>
                <w:szCs w:val="18"/>
                <w:lang w:val="en-US" w:eastAsia="zh-CN"/>
              </w:rPr>
            </w:pPr>
            <w:r>
              <w:rPr>
                <w:rFonts w:ascii="Times New Roman" w:hAnsi="Times New Roman"/>
                <w:color w:val="000000"/>
                <w:szCs w:val="18"/>
                <w:lang w:eastAsia="ja-JP"/>
              </w:rPr>
              <w:t xml:space="preserve">3D </w:t>
            </w:r>
            <w:proofErr w:type="gramStart"/>
            <w:r>
              <w:rPr>
                <w:rFonts w:ascii="Times New Roman" w:hAnsi="Times New Roman"/>
                <w:color w:val="000000"/>
                <w:szCs w:val="18"/>
                <w:lang w:eastAsia="ja-JP"/>
              </w:rPr>
              <w:t>UM</w:t>
            </w:r>
            <w:proofErr w:type="spellStart"/>
            <w:r>
              <w:rPr>
                <w:rFonts w:ascii="Times New Roman" w:hAnsi="Times New Roman" w:hint="eastAsia"/>
                <w:color w:val="000000"/>
                <w:szCs w:val="18"/>
                <w:lang w:val="en-US" w:eastAsia="zh-CN"/>
              </w:rPr>
              <w:t>i</w:t>
            </w:r>
            <w:proofErr w:type="spellEnd"/>
            <w:r>
              <w:rPr>
                <w:rFonts w:ascii="Times New Roman" w:hAnsi="Times New Roman" w:hint="eastAsia"/>
                <w:color w:val="000000"/>
                <w:szCs w:val="18"/>
                <w:lang w:val="en-US" w:eastAsia="zh-CN"/>
              </w:rPr>
              <w:t xml:space="preserve">  ISD</w:t>
            </w:r>
            <w:proofErr w:type="gramEnd"/>
            <w:r>
              <w:rPr>
                <w:rFonts w:ascii="Times New Roman" w:hAnsi="Times New Roman" w:hint="eastAsia"/>
                <w:color w:val="000000"/>
                <w:szCs w:val="18"/>
                <w:lang w:val="en-US" w:eastAsia="zh-CN"/>
              </w:rPr>
              <w:t>=200m</w:t>
            </w:r>
          </w:p>
        </w:tc>
      </w:tr>
      <w:tr w:rsidR="009B70BD">
        <w:trPr>
          <w:trHeight w:val="90"/>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 xml:space="preserve">Antenna setup and port layouts at </w:t>
            </w:r>
            <w:proofErr w:type="spellStart"/>
            <w:r>
              <w:rPr>
                <w:color w:val="000000"/>
                <w:sz w:val="18"/>
                <w:szCs w:val="18"/>
              </w:rPr>
              <w:t>gNB</w:t>
            </w:r>
            <w:proofErr w:type="spellEnd"/>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 xml:space="preserve">- 32 ports: </w:t>
            </w: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w:t>
            </w:r>
            <w:r>
              <w:rPr>
                <w:rFonts w:eastAsia="Malgun Gothic"/>
                <w:color w:val="000000"/>
                <w:kern w:val="24"/>
                <w:sz w:val="18"/>
                <w:szCs w:val="18"/>
                <w:lang w:val="sv-SE"/>
              </w:rPr>
              <w:t xml:space="preserve">Np) </w:t>
            </w:r>
            <w:proofErr w:type="gramStart"/>
            <w:r>
              <w:rPr>
                <w:rFonts w:eastAsia="Malgun Gothic"/>
                <w:color w:val="000000"/>
                <w:kern w:val="24"/>
                <w:sz w:val="18"/>
                <w:szCs w:val="18"/>
                <w:lang w:val="sv-SE"/>
              </w:rPr>
              <w:t>=(</w:t>
            </w:r>
            <w:proofErr w:type="gramEnd"/>
            <w:r>
              <w:rPr>
                <w:rFonts w:hint="eastAsia"/>
                <w:color w:val="000000"/>
                <w:kern w:val="24"/>
                <w:sz w:val="18"/>
                <w:szCs w:val="18"/>
              </w:rPr>
              <w:t>2</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2</w:t>
            </w:r>
            <w:r>
              <w:rPr>
                <w:color w:val="000000"/>
                <w:kern w:val="24"/>
                <w:sz w:val="18"/>
                <w:szCs w:val="18"/>
              </w:rPr>
              <w:t>,</w:t>
            </w:r>
            <w:r>
              <w:rPr>
                <w:rFonts w:hint="eastAsia"/>
                <w:color w:val="000000"/>
                <w:kern w:val="24"/>
                <w:sz w:val="18"/>
                <w:szCs w:val="18"/>
              </w:rPr>
              <w:t>8</w:t>
            </w:r>
            <w:r>
              <w:rPr>
                <w:color w:val="000000"/>
                <w:sz w:val="18"/>
                <w:szCs w:val="18"/>
              </w:rPr>
              <w:t>)</w:t>
            </w:r>
          </w:p>
          <w:p w:rsidR="009B70BD" w:rsidRDefault="0051047F">
            <w:pPr>
              <w:spacing w:after="0"/>
              <w:rPr>
                <w:color w:val="000000"/>
                <w:sz w:val="18"/>
                <w:szCs w:val="18"/>
              </w:rPr>
            </w:pPr>
            <w:r>
              <w:rPr>
                <w:rFonts w:hint="eastAsia"/>
                <w:color w:val="000000"/>
                <w:sz w:val="18"/>
                <w:szCs w:val="18"/>
              </w:rPr>
              <w:t xml:space="preserve">- 64 ports: </w:t>
            </w: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w:t>
            </w:r>
            <w:r>
              <w:rPr>
                <w:rFonts w:eastAsia="Malgun Gothic"/>
                <w:color w:val="000000"/>
                <w:kern w:val="24"/>
                <w:sz w:val="18"/>
                <w:szCs w:val="18"/>
                <w:lang w:val="sv-SE"/>
              </w:rPr>
              <w:t xml:space="preserve">Np) </w:t>
            </w:r>
            <w:proofErr w:type="gramStart"/>
            <w:r>
              <w:rPr>
                <w:rFonts w:eastAsia="Malgun Gothic"/>
                <w:color w:val="000000"/>
                <w:kern w:val="24"/>
                <w:sz w:val="18"/>
                <w:szCs w:val="18"/>
                <w:lang w:val="sv-SE"/>
              </w:rPr>
              <w:t>=(</w:t>
            </w:r>
            <w:proofErr w:type="gramEnd"/>
            <w:r>
              <w:rPr>
                <w:rFonts w:hint="eastAsia"/>
                <w:color w:val="000000"/>
                <w:kern w:val="24"/>
                <w:sz w:val="18"/>
                <w:szCs w:val="18"/>
              </w:rPr>
              <w:t>4</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4</w:t>
            </w:r>
            <w:r>
              <w:rPr>
                <w:color w:val="000000"/>
                <w:kern w:val="24"/>
                <w:sz w:val="18"/>
                <w:szCs w:val="18"/>
              </w:rPr>
              <w:t>,</w:t>
            </w:r>
            <w:r>
              <w:rPr>
                <w:rFonts w:hint="eastAsia"/>
                <w:color w:val="000000"/>
                <w:kern w:val="24"/>
                <w:sz w:val="18"/>
                <w:szCs w:val="18"/>
              </w:rPr>
              <w:t>8</w:t>
            </w:r>
            <w:r>
              <w:rPr>
                <w:color w:val="000000"/>
                <w:sz w:val="18"/>
                <w:szCs w:val="18"/>
              </w:rPr>
              <w:t>)</w:t>
            </w:r>
          </w:p>
          <w:p w:rsidR="009B70BD" w:rsidRDefault="0051047F">
            <w:pPr>
              <w:spacing w:after="0"/>
              <w:rPr>
                <w:color w:val="000000"/>
                <w:sz w:val="18"/>
                <w:szCs w:val="18"/>
              </w:rPr>
            </w:pPr>
            <w:r>
              <w:rPr>
                <w:rFonts w:hint="eastAsia"/>
                <w:color w:val="000000"/>
                <w:sz w:val="18"/>
                <w:szCs w:val="18"/>
              </w:rPr>
              <w:t xml:space="preserve">- 128 ports: </w:t>
            </w: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w:t>
            </w:r>
            <w:r>
              <w:rPr>
                <w:rFonts w:eastAsia="Malgun Gothic"/>
                <w:color w:val="000000"/>
                <w:kern w:val="24"/>
                <w:sz w:val="18"/>
                <w:szCs w:val="18"/>
                <w:lang w:val="sv-SE"/>
              </w:rPr>
              <w:t xml:space="preserve">Np) </w:t>
            </w:r>
            <w:proofErr w:type="gramStart"/>
            <w:r>
              <w:rPr>
                <w:rFonts w:eastAsia="Malgun Gothic"/>
                <w:color w:val="000000"/>
                <w:kern w:val="24"/>
                <w:sz w:val="18"/>
                <w:szCs w:val="18"/>
                <w:lang w:val="sv-SE"/>
              </w:rPr>
              <w:t>=(</w:t>
            </w:r>
            <w:proofErr w:type="gramEnd"/>
            <w:r>
              <w:rPr>
                <w:rFonts w:hint="eastAsia"/>
                <w:color w:val="000000"/>
                <w:kern w:val="24"/>
                <w:sz w:val="18"/>
                <w:szCs w:val="18"/>
              </w:rPr>
              <w:t>8</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8</w:t>
            </w:r>
            <w:r>
              <w:rPr>
                <w:color w:val="000000"/>
                <w:kern w:val="24"/>
                <w:sz w:val="18"/>
                <w:szCs w:val="18"/>
              </w:rPr>
              <w:t>,</w:t>
            </w:r>
            <w:r>
              <w:rPr>
                <w:rFonts w:hint="eastAsia"/>
                <w:color w:val="000000"/>
                <w:kern w:val="24"/>
                <w:sz w:val="18"/>
                <w:szCs w:val="18"/>
              </w:rPr>
              <w:t>8</w:t>
            </w:r>
            <w:r>
              <w:rPr>
                <w:color w:val="000000"/>
                <w:sz w:val="18"/>
                <w:szCs w:val="18"/>
              </w:rPr>
              <w:t>)</w:t>
            </w:r>
          </w:p>
          <w:p w:rsidR="009B70BD" w:rsidRDefault="0051047F">
            <w:pPr>
              <w:spacing w:after="0"/>
              <w:rPr>
                <w:color w:val="000000"/>
                <w:sz w:val="18"/>
                <w:szCs w:val="18"/>
              </w:rPr>
            </w:pPr>
            <w:r>
              <w:rPr>
                <w:color w:val="000000"/>
                <w:sz w:val="18"/>
                <w:szCs w:val="18"/>
              </w:rPr>
              <w:t>(</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0.8)</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Antenna setup and port layouts at UE</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Np) </w:t>
            </w:r>
            <w:proofErr w:type="gramStart"/>
            <w:r>
              <w:rPr>
                <w:color w:val="000000"/>
                <w:sz w:val="18"/>
                <w:szCs w:val="18"/>
              </w:rPr>
              <w:t>=(</w:t>
            </w:r>
            <w:proofErr w:type="gramEnd"/>
            <w:r>
              <w:rPr>
                <w:color w:val="000000"/>
                <w:sz w:val="18"/>
                <w:szCs w:val="18"/>
              </w:rPr>
              <w:t>1,2,2,1,1,1,2)</w:t>
            </w:r>
          </w:p>
          <w:p w:rsidR="009B70BD" w:rsidRDefault="0051047F">
            <w:pPr>
              <w:spacing w:after="0"/>
              <w:rPr>
                <w:color w:val="000000"/>
                <w:sz w:val="18"/>
                <w:szCs w:val="18"/>
              </w:rPr>
            </w:pP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Np) </w:t>
            </w:r>
            <w:proofErr w:type="gramStart"/>
            <w:r>
              <w:rPr>
                <w:color w:val="000000"/>
                <w:sz w:val="18"/>
                <w:szCs w:val="18"/>
              </w:rPr>
              <w:t>=(</w:t>
            </w:r>
            <w:proofErr w:type="gramEnd"/>
            <w:r>
              <w:rPr>
                <w:rFonts w:hint="eastAsia"/>
                <w:color w:val="000000"/>
                <w:sz w:val="18"/>
                <w:szCs w:val="18"/>
              </w:rPr>
              <w:t>2</w:t>
            </w:r>
            <w:r>
              <w:rPr>
                <w:color w:val="000000"/>
                <w:sz w:val="18"/>
                <w:szCs w:val="18"/>
              </w:rPr>
              <w:t>,2,2,1,1,</w:t>
            </w:r>
            <w:r>
              <w:rPr>
                <w:rFonts w:hint="eastAsia"/>
                <w:color w:val="000000"/>
                <w:sz w:val="18"/>
                <w:szCs w:val="18"/>
              </w:rPr>
              <w:t>2</w:t>
            </w:r>
            <w:r>
              <w:rPr>
                <w:color w:val="000000"/>
                <w:sz w:val="18"/>
                <w:szCs w:val="18"/>
              </w:rPr>
              <w:t>,2)</w:t>
            </w:r>
            <w:r>
              <w:rPr>
                <w:rFonts w:hint="eastAsia"/>
                <w:color w:val="000000"/>
                <w:sz w:val="18"/>
                <w:szCs w:val="18"/>
              </w:rPr>
              <w:t xml:space="preserve"> for RI = 5-8</w:t>
            </w:r>
          </w:p>
          <w:p w:rsidR="009B70BD" w:rsidRDefault="009B70BD">
            <w:pPr>
              <w:spacing w:after="0"/>
              <w:rPr>
                <w:color w:val="000000"/>
                <w:sz w:val="18"/>
                <w:szCs w:val="18"/>
              </w:rPr>
            </w:pPr>
          </w:p>
          <w:p w:rsidR="009B70BD" w:rsidRDefault="0051047F">
            <w:pPr>
              <w:spacing w:after="0"/>
              <w:rPr>
                <w:color w:val="000000"/>
                <w:sz w:val="18"/>
                <w:szCs w:val="18"/>
              </w:rPr>
            </w:pPr>
            <w:r>
              <w:rPr>
                <w:color w:val="000000"/>
                <w:sz w:val="18"/>
                <w:szCs w:val="18"/>
              </w:rPr>
              <w:t>(</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0.5)</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Modulation</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 xml:space="preserve">Up to 256QAM </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Tx power</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4</w:t>
            </w:r>
            <w:r>
              <w:rPr>
                <w:rFonts w:hint="eastAsia"/>
                <w:color w:val="000000"/>
                <w:sz w:val="18"/>
                <w:szCs w:val="18"/>
              </w:rPr>
              <w:t>6</w:t>
            </w:r>
            <w:r>
              <w:rPr>
                <w:color w:val="000000"/>
                <w:sz w:val="18"/>
                <w:szCs w:val="18"/>
              </w:rPr>
              <w:t xml:space="preserve"> dBm</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UE Tx power</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23dBm</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antenna height</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25 m</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receiver noise figure</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lang w:eastAsia="ja-JP"/>
              </w:rPr>
              <w:t>5dB</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UE receiver noise figure</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9dB</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Numerology</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 xml:space="preserve">14 OFDM symbol </w:t>
            </w:r>
            <w:r>
              <w:rPr>
                <w:rFonts w:hint="eastAsia"/>
                <w:color w:val="000000"/>
                <w:sz w:val="18"/>
                <w:szCs w:val="18"/>
              </w:rPr>
              <w:t xml:space="preserve">per </w:t>
            </w:r>
            <w:r>
              <w:rPr>
                <w:color w:val="000000"/>
                <w:sz w:val="18"/>
                <w:szCs w:val="18"/>
              </w:rPr>
              <w:t xml:space="preserve">slot, </w:t>
            </w:r>
            <w:r>
              <w:rPr>
                <w:rFonts w:hint="eastAsia"/>
                <w:color w:val="000000"/>
                <w:sz w:val="18"/>
                <w:szCs w:val="18"/>
              </w:rPr>
              <w:t>15</w:t>
            </w:r>
            <w:r>
              <w:rPr>
                <w:color w:val="000000"/>
                <w:sz w:val="18"/>
                <w:szCs w:val="18"/>
              </w:rPr>
              <w:t>kHz SCS</w:t>
            </w:r>
          </w:p>
        </w:tc>
      </w:tr>
      <w:tr w:rsidR="009B70BD">
        <w:trPr>
          <w:trHeight w:val="285"/>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Bandwidth</w:t>
            </w:r>
          </w:p>
        </w:tc>
        <w:tc>
          <w:tcPr>
            <w:tcW w:w="4504" w:type="dxa"/>
            <w:shd w:val="clear" w:color="auto" w:fill="auto"/>
            <w:noWrap/>
            <w:vAlign w:val="center"/>
          </w:tcPr>
          <w:p w:rsidR="009B70BD" w:rsidRDefault="0051047F">
            <w:pPr>
              <w:spacing w:after="0"/>
              <w:rPr>
                <w:color w:val="000000"/>
                <w:sz w:val="18"/>
                <w:szCs w:val="18"/>
              </w:rPr>
            </w:pPr>
            <w:r>
              <w:rPr>
                <w:rFonts w:hint="eastAsia"/>
                <w:color w:val="000000"/>
                <w:sz w:val="18"/>
                <w:szCs w:val="18"/>
              </w:rPr>
              <w:t>1</w:t>
            </w:r>
            <w:r>
              <w:rPr>
                <w:color w:val="000000"/>
                <w:sz w:val="18"/>
                <w:szCs w:val="18"/>
                <w:lang w:eastAsia="ja-JP"/>
              </w:rPr>
              <w:t>0MHz</w:t>
            </w:r>
            <w:r>
              <w:rPr>
                <w:rFonts w:hint="eastAsia"/>
                <w:color w:val="000000"/>
                <w:sz w:val="18"/>
                <w:szCs w:val="18"/>
              </w:rPr>
              <w:t>, 52RBs</w:t>
            </w:r>
          </w:p>
        </w:tc>
      </w:tr>
      <w:tr w:rsidR="009B70BD">
        <w:trPr>
          <w:trHeight w:val="285"/>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UE receiver</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MMSE-IRC</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Network Layout</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40</w:t>
            </w:r>
            <w:r>
              <w:rPr>
                <w:color w:val="000000"/>
                <w:sz w:val="18"/>
                <w:szCs w:val="18"/>
              </w:rPr>
              <w:t xml:space="preserve"> UEs per </w:t>
            </w:r>
            <w:r>
              <w:rPr>
                <w:rFonts w:hint="eastAsia"/>
                <w:color w:val="000000"/>
                <w:sz w:val="18"/>
                <w:szCs w:val="18"/>
              </w:rPr>
              <w:t>sec</w:t>
            </w:r>
            <w:r>
              <w:rPr>
                <w:color w:val="000000"/>
                <w:sz w:val="18"/>
                <w:szCs w:val="18"/>
              </w:rPr>
              <w:t xml:space="preserve"> (in a total of </w:t>
            </w:r>
            <w:r>
              <w:rPr>
                <w:rFonts w:hint="eastAsia"/>
                <w:color w:val="000000"/>
                <w:sz w:val="18"/>
                <w:szCs w:val="18"/>
              </w:rPr>
              <w:t>21</w:t>
            </w:r>
            <w:r>
              <w:rPr>
                <w:color w:val="000000"/>
                <w:sz w:val="18"/>
                <w:szCs w:val="18"/>
              </w:rPr>
              <w:t xml:space="preserve"> </w:t>
            </w:r>
            <w:r>
              <w:rPr>
                <w:rFonts w:hint="eastAsia"/>
                <w:color w:val="000000"/>
                <w:sz w:val="18"/>
                <w:szCs w:val="18"/>
              </w:rPr>
              <w:t>sec</w:t>
            </w:r>
            <w:r>
              <w:rPr>
                <w:color w:val="000000"/>
                <w:sz w:val="18"/>
                <w:szCs w:val="18"/>
              </w:rPr>
              <w:t>s)</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PMI/CQI feedback</w:t>
            </w:r>
          </w:p>
        </w:tc>
        <w:tc>
          <w:tcPr>
            <w:tcW w:w="4504" w:type="dxa"/>
            <w:shd w:val="clear" w:color="auto" w:fill="auto"/>
            <w:vAlign w:val="center"/>
          </w:tcPr>
          <w:p w:rsidR="009B70BD" w:rsidRDefault="0051047F">
            <w:pPr>
              <w:spacing w:after="0"/>
              <w:rPr>
                <w:color w:val="000000"/>
                <w:sz w:val="18"/>
                <w:szCs w:val="18"/>
              </w:rPr>
            </w:pPr>
            <w:r>
              <w:rPr>
                <w:color w:val="000000"/>
                <w:sz w:val="18"/>
                <w:szCs w:val="18"/>
              </w:rPr>
              <w:t>Subband</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UE distribution</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20</w:t>
            </w:r>
            <w:r>
              <w:rPr>
                <w:color w:val="000000"/>
                <w:sz w:val="18"/>
                <w:szCs w:val="18"/>
              </w:rPr>
              <w:t>% outdoor (30km/h)</w:t>
            </w:r>
          </w:p>
        </w:tc>
      </w:tr>
      <w:tr w:rsidR="009B70BD">
        <w:trPr>
          <w:trHeight w:val="50"/>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Traffic model</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FTP</w:t>
            </w:r>
          </w:p>
        </w:tc>
      </w:tr>
      <w:tr w:rsidR="009B70BD">
        <w:trPr>
          <w:trHeight w:val="205"/>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CSI feedback</w:t>
            </w:r>
            <w:r>
              <w:rPr>
                <w:rFonts w:hint="eastAsia"/>
                <w:color w:val="000000"/>
                <w:sz w:val="18"/>
                <w:szCs w:val="18"/>
              </w:rPr>
              <w:t xml:space="preserve"> delay</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5ms</w:t>
            </w:r>
          </w:p>
        </w:tc>
      </w:tr>
      <w:tr w:rsidR="009B70BD">
        <w:trPr>
          <w:trHeight w:val="378"/>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MIMO scheme</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S</w:t>
            </w:r>
            <w:r>
              <w:rPr>
                <w:color w:val="000000"/>
                <w:sz w:val="18"/>
                <w:szCs w:val="18"/>
              </w:rPr>
              <w:t>U</w:t>
            </w:r>
            <w:r>
              <w:rPr>
                <w:rFonts w:hint="eastAsia"/>
                <w:color w:val="000000"/>
                <w:sz w:val="18"/>
                <w:szCs w:val="18"/>
              </w:rPr>
              <w:t>/MU</w:t>
            </w:r>
            <w:r>
              <w:rPr>
                <w:color w:val="000000"/>
                <w:sz w:val="18"/>
                <w:szCs w:val="18"/>
              </w:rPr>
              <w:t>-MIMO with rank adaptation</w:t>
            </w:r>
          </w:p>
          <w:p w:rsidR="009B70BD" w:rsidRDefault="0051047F">
            <w:pPr>
              <w:spacing w:after="0"/>
              <w:rPr>
                <w:color w:val="000000"/>
                <w:sz w:val="18"/>
                <w:szCs w:val="18"/>
              </w:rPr>
            </w:pPr>
            <w:r>
              <w:rPr>
                <w:color w:val="000000"/>
                <w:sz w:val="18"/>
                <w:szCs w:val="18"/>
              </w:rPr>
              <w:t>Maximum rank = 4</w:t>
            </w:r>
            <w:r w:rsidR="005C577C">
              <w:rPr>
                <w:color w:val="000000"/>
                <w:sz w:val="18"/>
                <w:szCs w:val="18"/>
              </w:rPr>
              <w:t>/8</w:t>
            </w:r>
            <w:r>
              <w:rPr>
                <w:color w:val="000000"/>
                <w:sz w:val="18"/>
                <w:szCs w:val="18"/>
              </w:rPr>
              <w:t xml:space="preserve"> per UE</w:t>
            </w:r>
          </w:p>
        </w:tc>
      </w:tr>
      <w:tr w:rsidR="009B70BD">
        <w:trPr>
          <w:trHeight w:val="471"/>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Performance metrics</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5%-</w:t>
            </w:r>
            <w:proofErr w:type="spellStart"/>
            <w:r>
              <w:rPr>
                <w:rFonts w:hint="eastAsia"/>
                <w:color w:val="000000"/>
                <w:sz w:val="18"/>
                <w:szCs w:val="18"/>
              </w:rPr>
              <w:t>ile</w:t>
            </w:r>
            <w:proofErr w:type="spellEnd"/>
            <w:r>
              <w:rPr>
                <w:rFonts w:hint="eastAsia"/>
                <w:color w:val="000000"/>
                <w:sz w:val="18"/>
                <w:szCs w:val="18"/>
              </w:rPr>
              <w:t xml:space="preserve"> and </w:t>
            </w:r>
            <w:r>
              <w:rPr>
                <w:color w:val="000000"/>
                <w:sz w:val="18"/>
                <w:szCs w:val="18"/>
              </w:rPr>
              <w:t>Average UPT</w:t>
            </w:r>
          </w:p>
        </w:tc>
      </w:tr>
    </w:tbl>
    <w:p w:rsidR="009B70BD" w:rsidRDefault="009B70BD">
      <w:pPr>
        <w:rPr>
          <w:bCs/>
          <w:szCs w:val="20"/>
        </w:rPr>
      </w:pPr>
    </w:p>
    <w:p w:rsidR="009B70BD" w:rsidRDefault="0051047F">
      <w:pPr>
        <w:snapToGrid w:val="0"/>
        <w:spacing w:beforeLines="30" w:before="72" w:afterLines="30" w:after="72" w:line="288" w:lineRule="auto"/>
        <w:jc w:val="center"/>
        <w:rPr>
          <w:rFonts w:eastAsia="微软雅黑"/>
          <w:szCs w:val="20"/>
          <w:u w:val="single"/>
        </w:rPr>
      </w:pPr>
      <w:r>
        <w:rPr>
          <w:rFonts w:eastAsia="微软雅黑"/>
          <w:b/>
          <w:szCs w:val="20"/>
        </w:rPr>
        <w:t>Table</w:t>
      </w:r>
      <w:r>
        <w:rPr>
          <w:rFonts w:eastAsia="微软雅黑" w:hint="eastAsia"/>
          <w:b/>
          <w:szCs w:val="20"/>
        </w:rPr>
        <w:t xml:space="preserve"> </w:t>
      </w:r>
      <w:r w:rsidR="00C65196">
        <w:rPr>
          <w:rFonts w:eastAsia="微软雅黑"/>
          <w:b/>
          <w:szCs w:val="20"/>
        </w:rPr>
        <w:t>4</w:t>
      </w:r>
      <w:r>
        <w:rPr>
          <w:rFonts w:eastAsia="微软雅黑"/>
          <w:szCs w:val="20"/>
        </w:rPr>
        <w:t xml:space="preserve"> SLS evaluation assumption for </w:t>
      </w:r>
      <w:r>
        <w:rPr>
          <w:rFonts w:eastAsia="微软雅黑" w:hint="eastAsia"/>
          <w:szCs w:val="20"/>
        </w:rPr>
        <w:t>CRIs-based CSI reporting for hybrid beamforming</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4504"/>
      </w:tblGrid>
      <w:tr w:rsidR="009B70BD">
        <w:trPr>
          <w:trHeight w:val="284"/>
          <w:jc w:val="center"/>
        </w:trPr>
        <w:tc>
          <w:tcPr>
            <w:tcW w:w="3392" w:type="dxa"/>
            <w:shd w:val="clear" w:color="000000" w:fill="BFBFBF" w:themeFill="background1" w:themeFillShade="BF"/>
            <w:noWrap/>
            <w:vAlign w:val="center"/>
          </w:tcPr>
          <w:p w:rsidR="009B70BD" w:rsidRDefault="0051047F">
            <w:pPr>
              <w:spacing w:after="0"/>
              <w:jc w:val="center"/>
              <w:rPr>
                <w:b/>
                <w:bCs/>
                <w:color w:val="000000"/>
                <w:sz w:val="18"/>
                <w:szCs w:val="18"/>
              </w:rPr>
            </w:pPr>
            <w:r>
              <w:rPr>
                <w:b/>
                <w:bCs/>
                <w:color w:val="000000"/>
                <w:sz w:val="18"/>
                <w:szCs w:val="18"/>
              </w:rPr>
              <w:t>Parameter</w:t>
            </w:r>
          </w:p>
        </w:tc>
        <w:tc>
          <w:tcPr>
            <w:tcW w:w="4504" w:type="dxa"/>
            <w:shd w:val="clear" w:color="000000" w:fill="BFBFBF" w:themeFill="background1" w:themeFillShade="BF"/>
            <w:noWrap/>
            <w:vAlign w:val="center"/>
          </w:tcPr>
          <w:p w:rsidR="009B70BD" w:rsidRDefault="0051047F">
            <w:pPr>
              <w:spacing w:after="0"/>
              <w:jc w:val="center"/>
              <w:rPr>
                <w:b/>
                <w:bCs/>
                <w:color w:val="000000"/>
                <w:sz w:val="18"/>
                <w:szCs w:val="18"/>
              </w:rPr>
            </w:pPr>
            <w:r>
              <w:rPr>
                <w:b/>
                <w:bCs/>
                <w:color w:val="000000"/>
                <w:sz w:val="18"/>
                <w:szCs w:val="18"/>
              </w:rPr>
              <w:t>Value</w:t>
            </w:r>
          </w:p>
        </w:tc>
      </w:tr>
      <w:tr w:rsidR="009B70BD">
        <w:trPr>
          <w:trHeight w:val="91"/>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Carrier Frequency</w:t>
            </w:r>
          </w:p>
        </w:tc>
        <w:tc>
          <w:tcPr>
            <w:tcW w:w="4504" w:type="dxa"/>
            <w:shd w:val="clear" w:color="auto" w:fill="auto"/>
            <w:noWrap/>
            <w:vAlign w:val="center"/>
          </w:tcPr>
          <w:p w:rsidR="009B70BD" w:rsidRDefault="0051047F">
            <w:pPr>
              <w:spacing w:after="0"/>
              <w:rPr>
                <w:color w:val="000000"/>
                <w:sz w:val="18"/>
                <w:szCs w:val="18"/>
              </w:rPr>
            </w:pPr>
            <w:r>
              <w:rPr>
                <w:rFonts w:hint="eastAsia"/>
                <w:color w:val="000000"/>
                <w:sz w:val="18"/>
                <w:szCs w:val="18"/>
              </w:rPr>
              <w:t>6</w:t>
            </w:r>
            <w:r>
              <w:rPr>
                <w:color w:val="000000"/>
                <w:sz w:val="18"/>
                <w:szCs w:val="18"/>
              </w:rPr>
              <w:t>GHz</w:t>
            </w:r>
          </w:p>
        </w:tc>
      </w:tr>
      <w:tr w:rsidR="009B70BD">
        <w:trPr>
          <w:trHeight w:val="285"/>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Channel Model</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According to the TR 38.901</w:t>
            </w:r>
          </w:p>
          <w:p w:rsidR="009B70BD" w:rsidRDefault="0051047F">
            <w:pPr>
              <w:pStyle w:val="TAL"/>
              <w:rPr>
                <w:rFonts w:ascii="Times New Roman" w:hAnsi="Times New Roman"/>
                <w:color w:val="000000"/>
                <w:szCs w:val="18"/>
                <w:lang w:val="en-US" w:eastAsia="zh-CN"/>
              </w:rPr>
            </w:pPr>
            <w:r>
              <w:rPr>
                <w:rFonts w:ascii="Times New Roman" w:hAnsi="Times New Roman"/>
                <w:color w:val="000000"/>
                <w:szCs w:val="18"/>
                <w:lang w:eastAsia="ja-JP"/>
              </w:rPr>
              <w:t xml:space="preserve">3D </w:t>
            </w:r>
            <w:proofErr w:type="gramStart"/>
            <w:r>
              <w:rPr>
                <w:rFonts w:ascii="Times New Roman" w:hAnsi="Times New Roman"/>
                <w:color w:val="000000"/>
                <w:szCs w:val="18"/>
                <w:lang w:eastAsia="ja-JP"/>
              </w:rPr>
              <w:t>UM</w:t>
            </w:r>
            <w:proofErr w:type="spellStart"/>
            <w:r>
              <w:rPr>
                <w:rFonts w:ascii="Times New Roman" w:hAnsi="Times New Roman" w:hint="eastAsia"/>
                <w:color w:val="000000"/>
                <w:szCs w:val="18"/>
                <w:lang w:val="en-US" w:eastAsia="zh-CN"/>
              </w:rPr>
              <w:t>i</w:t>
            </w:r>
            <w:proofErr w:type="spellEnd"/>
            <w:r>
              <w:rPr>
                <w:rFonts w:ascii="Times New Roman" w:hAnsi="Times New Roman" w:hint="eastAsia"/>
                <w:color w:val="000000"/>
                <w:szCs w:val="18"/>
                <w:lang w:val="en-US" w:eastAsia="zh-CN"/>
              </w:rPr>
              <w:t xml:space="preserve">  ISD</w:t>
            </w:r>
            <w:proofErr w:type="gramEnd"/>
            <w:r>
              <w:rPr>
                <w:rFonts w:ascii="Times New Roman" w:hAnsi="Times New Roman" w:hint="eastAsia"/>
                <w:color w:val="000000"/>
                <w:szCs w:val="18"/>
                <w:lang w:val="en-US" w:eastAsia="zh-CN"/>
              </w:rPr>
              <w:t>=200m</w:t>
            </w:r>
          </w:p>
        </w:tc>
      </w:tr>
      <w:tr w:rsidR="009B70BD">
        <w:trPr>
          <w:trHeight w:val="90"/>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 xml:space="preserve">Antenna setup and port layouts at </w:t>
            </w:r>
            <w:proofErr w:type="spellStart"/>
            <w:r>
              <w:rPr>
                <w:color w:val="000000"/>
                <w:sz w:val="18"/>
                <w:szCs w:val="18"/>
              </w:rPr>
              <w:t>gNB</w:t>
            </w:r>
            <w:proofErr w:type="spellEnd"/>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 xml:space="preserve">- 32 ports: </w:t>
            </w: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w:t>
            </w:r>
            <w:r>
              <w:rPr>
                <w:rFonts w:eastAsia="Malgun Gothic"/>
                <w:color w:val="000000"/>
                <w:kern w:val="24"/>
                <w:sz w:val="18"/>
                <w:szCs w:val="18"/>
                <w:lang w:val="sv-SE"/>
              </w:rPr>
              <w:t xml:space="preserve">Np) </w:t>
            </w:r>
            <w:proofErr w:type="gramStart"/>
            <w:r>
              <w:rPr>
                <w:rFonts w:eastAsia="Malgun Gothic"/>
                <w:color w:val="000000"/>
                <w:kern w:val="24"/>
                <w:sz w:val="18"/>
                <w:szCs w:val="18"/>
                <w:lang w:val="sv-SE"/>
              </w:rPr>
              <w:t>=(</w:t>
            </w:r>
            <w:proofErr w:type="gramEnd"/>
            <w:r>
              <w:rPr>
                <w:rFonts w:hint="eastAsia"/>
                <w:color w:val="000000"/>
                <w:kern w:val="24"/>
                <w:sz w:val="18"/>
                <w:szCs w:val="18"/>
              </w:rPr>
              <w:t>24</w:t>
            </w:r>
            <w:r>
              <w:rPr>
                <w:rFonts w:eastAsia="Malgun Gothic"/>
                <w:color w:val="000000"/>
                <w:kern w:val="24"/>
                <w:sz w:val="18"/>
                <w:szCs w:val="18"/>
                <w:lang w:val="sv-SE"/>
              </w:rPr>
              <w:t>,</w:t>
            </w:r>
            <w:r>
              <w:rPr>
                <w:rFonts w:hint="eastAsia"/>
                <w:color w:val="000000"/>
                <w:kern w:val="24"/>
                <w:sz w:val="18"/>
                <w:szCs w:val="18"/>
              </w:rPr>
              <w:t>4</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4</w:t>
            </w:r>
            <w:r>
              <w:rPr>
                <w:color w:val="000000"/>
                <w:kern w:val="24"/>
                <w:sz w:val="18"/>
                <w:szCs w:val="18"/>
              </w:rPr>
              <w:t>,</w:t>
            </w:r>
            <w:r>
              <w:rPr>
                <w:rFonts w:hint="eastAsia"/>
                <w:color w:val="000000"/>
                <w:kern w:val="24"/>
                <w:sz w:val="18"/>
                <w:szCs w:val="18"/>
              </w:rPr>
              <w:t>4</w:t>
            </w:r>
            <w:r>
              <w:rPr>
                <w:color w:val="000000"/>
                <w:sz w:val="18"/>
                <w:szCs w:val="18"/>
              </w:rPr>
              <w:t>)</w:t>
            </w:r>
          </w:p>
          <w:p w:rsidR="009B70BD" w:rsidRDefault="0051047F">
            <w:pPr>
              <w:spacing w:after="0"/>
              <w:rPr>
                <w:color w:val="000000"/>
                <w:sz w:val="18"/>
                <w:szCs w:val="18"/>
              </w:rPr>
            </w:pPr>
            <w:r>
              <w:rPr>
                <w:color w:val="000000"/>
                <w:sz w:val="18"/>
                <w:szCs w:val="18"/>
              </w:rPr>
              <w:t>(</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0.8)</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lastRenderedPageBreak/>
              <w:t>Antenna setup and port layouts at UE</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Np) </w:t>
            </w:r>
            <w:proofErr w:type="gramStart"/>
            <w:r>
              <w:rPr>
                <w:color w:val="000000"/>
                <w:sz w:val="18"/>
                <w:szCs w:val="18"/>
              </w:rPr>
              <w:t>=(</w:t>
            </w:r>
            <w:proofErr w:type="gramEnd"/>
            <w:r>
              <w:rPr>
                <w:color w:val="000000"/>
                <w:sz w:val="18"/>
                <w:szCs w:val="18"/>
              </w:rPr>
              <w:t>1,2,2,1,1,1,2)</w:t>
            </w:r>
          </w:p>
          <w:p w:rsidR="009B70BD" w:rsidRDefault="0051047F">
            <w:pPr>
              <w:spacing w:after="0"/>
              <w:rPr>
                <w:color w:val="000000"/>
                <w:sz w:val="18"/>
                <w:szCs w:val="18"/>
              </w:rPr>
            </w:pPr>
            <w:r>
              <w:rPr>
                <w:color w:val="000000"/>
                <w:sz w:val="18"/>
                <w:szCs w:val="18"/>
              </w:rPr>
              <w:t>(</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0.5)</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Modulation</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 xml:space="preserve">Up to 256QAM </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Tx power</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4</w:t>
            </w:r>
            <w:r>
              <w:rPr>
                <w:rFonts w:hint="eastAsia"/>
                <w:color w:val="000000"/>
                <w:sz w:val="18"/>
                <w:szCs w:val="18"/>
              </w:rPr>
              <w:t>6</w:t>
            </w:r>
            <w:r>
              <w:rPr>
                <w:color w:val="000000"/>
                <w:sz w:val="18"/>
                <w:szCs w:val="18"/>
              </w:rPr>
              <w:t xml:space="preserve"> dBm</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UE Tx power</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23dBm</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antenna height</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25 m</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receiver noise figure</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lang w:eastAsia="ja-JP"/>
              </w:rPr>
              <w:t>5dB</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UE receiver noise figure</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9dB</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Numerology</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 xml:space="preserve">14 OFDM symbol </w:t>
            </w:r>
            <w:r>
              <w:rPr>
                <w:rFonts w:hint="eastAsia"/>
                <w:color w:val="000000"/>
                <w:sz w:val="18"/>
                <w:szCs w:val="18"/>
              </w:rPr>
              <w:t xml:space="preserve">per </w:t>
            </w:r>
            <w:r>
              <w:rPr>
                <w:color w:val="000000"/>
                <w:sz w:val="18"/>
                <w:szCs w:val="18"/>
              </w:rPr>
              <w:t xml:space="preserve">slot, </w:t>
            </w:r>
            <w:r>
              <w:rPr>
                <w:rFonts w:hint="eastAsia"/>
                <w:color w:val="000000"/>
                <w:sz w:val="18"/>
                <w:szCs w:val="18"/>
              </w:rPr>
              <w:t>15</w:t>
            </w:r>
            <w:r>
              <w:rPr>
                <w:color w:val="000000"/>
                <w:sz w:val="18"/>
                <w:szCs w:val="18"/>
              </w:rPr>
              <w:t>kHz SCS</w:t>
            </w:r>
          </w:p>
        </w:tc>
      </w:tr>
      <w:tr w:rsidR="009B70BD">
        <w:trPr>
          <w:trHeight w:val="285"/>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Bandwidth</w:t>
            </w:r>
          </w:p>
        </w:tc>
        <w:tc>
          <w:tcPr>
            <w:tcW w:w="4504" w:type="dxa"/>
            <w:shd w:val="clear" w:color="auto" w:fill="auto"/>
            <w:noWrap/>
            <w:vAlign w:val="center"/>
          </w:tcPr>
          <w:p w:rsidR="009B70BD" w:rsidRDefault="0051047F">
            <w:pPr>
              <w:spacing w:after="0"/>
              <w:rPr>
                <w:color w:val="000000"/>
                <w:sz w:val="18"/>
                <w:szCs w:val="18"/>
              </w:rPr>
            </w:pPr>
            <w:r>
              <w:rPr>
                <w:rFonts w:hint="eastAsia"/>
                <w:color w:val="000000"/>
                <w:sz w:val="18"/>
                <w:szCs w:val="18"/>
              </w:rPr>
              <w:t>1</w:t>
            </w:r>
            <w:r>
              <w:rPr>
                <w:color w:val="000000"/>
                <w:sz w:val="18"/>
                <w:szCs w:val="18"/>
                <w:lang w:eastAsia="ja-JP"/>
              </w:rPr>
              <w:t>0MHz</w:t>
            </w:r>
            <w:r>
              <w:rPr>
                <w:rFonts w:hint="eastAsia"/>
                <w:color w:val="000000"/>
                <w:sz w:val="18"/>
                <w:szCs w:val="18"/>
              </w:rPr>
              <w:t>, 52RBs</w:t>
            </w:r>
          </w:p>
        </w:tc>
      </w:tr>
      <w:tr w:rsidR="009B70BD">
        <w:trPr>
          <w:trHeight w:val="285"/>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UE receiver</w:t>
            </w:r>
          </w:p>
        </w:tc>
        <w:tc>
          <w:tcPr>
            <w:tcW w:w="4504" w:type="dxa"/>
            <w:shd w:val="clear" w:color="auto" w:fill="auto"/>
            <w:noWrap/>
            <w:vAlign w:val="center"/>
          </w:tcPr>
          <w:p w:rsidR="009B70BD" w:rsidRDefault="0051047F">
            <w:pPr>
              <w:spacing w:after="0"/>
              <w:rPr>
                <w:color w:val="000000"/>
                <w:sz w:val="18"/>
                <w:szCs w:val="18"/>
              </w:rPr>
            </w:pPr>
            <w:r>
              <w:rPr>
                <w:color w:val="000000"/>
                <w:sz w:val="18"/>
                <w:szCs w:val="18"/>
              </w:rPr>
              <w:t>MMSE-IRC</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Network Layout</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48</w:t>
            </w:r>
            <w:r>
              <w:rPr>
                <w:color w:val="000000"/>
                <w:sz w:val="18"/>
                <w:szCs w:val="18"/>
              </w:rPr>
              <w:t xml:space="preserve"> UEs per </w:t>
            </w:r>
            <w:r>
              <w:rPr>
                <w:rFonts w:hint="eastAsia"/>
                <w:color w:val="000000"/>
                <w:sz w:val="18"/>
                <w:szCs w:val="18"/>
              </w:rPr>
              <w:t>sec</w:t>
            </w:r>
            <w:r>
              <w:rPr>
                <w:color w:val="000000"/>
                <w:sz w:val="18"/>
                <w:szCs w:val="18"/>
              </w:rPr>
              <w:t xml:space="preserve"> (in a total of </w:t>
            </w:r>
            <w:r>
              <w:rPr>
                <w:rFonts w:hint="eastAsia"/>
                <w:color w:val="000000"/>
                <w:sz w:val="18"/>
                <w:szCs w:val="18"/>
              </w:rPr>
              <w:t>21</w:t>
            </w:r>
            <w:r>
              <w:rPr>
                <w:color w:val="000000"/>
                <w:sz w:val="18"/>
                <w:szCs w:val="18"/>
              </w:rPr>
              <w:t xml:space="preserve"> </w:t>
            </w:r>
            <w:r>
              <w:rPr>
                <w:rFonts w:hint="eastAsia"/>
                <w:color w:val="000000"/>
                <w:sz w:val="18"/>
                <w:szCs w:val="18"/>
              </w:rPr>
              <w:t>sec</w:t>
            </w:r>
            <w:r>
              <w:rPr>
                <w:color w:val="000000"/>
                <w:sz w:val="18"/>
                <w:szCs w:val="18"/>
              </w:rPr>
              <w:t>s)</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PMI/CQI feedback</w:t>
            </w:r>
          </w:p>
        </w:tc>
        <w:tc>
          <w:tcPr>
            <w:tcW w:w="4504" w:type="dxa"/>
            <w:shd w:val="clear" w:color="auto" w:fill="auto"/>
            <w:vAlign w:val="center"/>
          </w:tcPr>
          <w:p w:rsidR="009B70BD" w:rsidRDefault="0051047F">
            <w:pPr>
              <w:spacing w:after="0"/>
              <w:rPr>
                <w:color w:val="000000"/>
                <w:sz w:val="18"/>
                <w:szCs w:val="18"/>
              </w:rPr>
            </w:pPr>
            <w:r>
              <w:rPr>
                <w:color w:val="000000"/>
                <w:sz w:val="18"/>
                <w:szCs w:val="18"/>
              </w:rPr>
              <w:t>Subband</w:t>
            </w:r>
          </w:p>
        </w:tc>
      </w:tr>
      <w:tr w:rsidR="009B70BD">
        <w:trPr>
          <w:trHeight w:val="64"/>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UE distribution</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20</w:t>
            </w:r>
            <w:r>
              <w:rPr>
                <w:color w:val="000000"/>
                <w:sz w:val="18"/>
                <w:szCs w:val="18"/>
              </w:rPr>
              <w:t>% outdoor (30km/h)</w:t>
            </w:r>
          </w:p>
        </w:tc>
      </w:tr>
      <w:tr w:rsidR="009B70BD">
        <w:trPr>
          <w:trHeight w:val="50"/>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Traffic model</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FTP</w:t>
            </w:r>
          </w:p>
        </w:tc>
      </w:tr>
      <w:tr w:rsidR="009B70BD">
        <w:trPr>
          <w:trHeight w:val="205"/>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CSI feedback</w:t>
            </w:r>
            <w:r>
              <w:rPr>
                <w:rFonts w:hint="eastAsia"/>
                <w:color w:val="000000"/>
                <w:sz w:val="18"/>
                <w:szCs w:val="18"/>
              </w:rPr>
              <w:t xml:space="preserve"> delay</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5ms</w:t>
            </w:r>
          </w:p>
        </w:tc>
      </w:tr>
      <w:tr w:rsidR="009B70BD">
        <w:trPr>
          <w:trHeight w:val="378"/>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MIMO scheme</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S</w:t>
            </w:r>
            <w:r>
              <w:rPr>
                <w:color w:val="000000"/>
                <w:sz w:val="18"/>
                <w:szCs w:val="18"/>
              </w:rPr>
              <w:t>U</w:t>
            </w:r>
            <w:r>
              <w:rPr>
                <w:rFonts w:hint="eastAsia"/>
                <w:color w:val="000000"/>
                <w:sz w:val="18"/>
                <w:szCs w:val="18"/>
              </w:rPr>
              <w:t>/MU</w:t>
            </w:r>
            <w:r>
              <w:rPr>
                <w:color w:val="000000"/>
                <w:sz w:val="18"/>
                <w:szCs w:val="18"/>
              </w:rPr>
              <w:t>-MIMO with rank adaptation</w:t>
            </w:r>
          </w:p>
          <w:p w:rsidR="009B70BD" w:rsidRDefault="0051047F">
            <w:pPr>
              <w:spacing w:after="0"/>
              <w:rPr>
                <w:color w:val="000000"/>
                <w:sz w:val="18"/>
                <w:szCs w:val="18"/>
              </w:rPr>
            </w:pPr>
            <w:r>
              <w:rPr>
                <w:color w:val="000000"/>
                <w:sz w:val="18"/>
                <w:szCs w:val="18"/>
              </w:rPr>
              <w:t>Maximum rank = 4 per UE</w:t>
            </w:r>
          </w:p>
        </w:tc>
      </w:tr>
      <w:tr w:rsidR="009B70BD">
        <w:trPr>
          <w:trHeight w:val="471"/>
          <w:jc w:val="center"/>
        </w:trPr>
        <w:tc>
          <w:tcPr>
            <w:tcW w:w="3392" w:type="dxa"/>
            <w:shd w:val="clear" w:color="auto" w:fill="auto"/>
            <w:vAlign w:val="center"/>
          </w:tcPr>
          <w:p w:rsidR="009B70BD" w:rsidRDefault="0051047F">
            <w:pPr>
              <w:spacing w:after="0"/>
              <w:jc w:val="center"/>
              <w:rPr>
                <w:color w:val="000000"/>
                <w:sz w:val="18"/>
                <w:szCs w:val="18"/>
              </w:rPr>
            </w:pPr>
            <w:r>
              <w:rPr>
                <w:color w:val="000000"/>
                <w:sz w:val="18"/>
                <w:szCs w:val="18"/>
              </w:rPr>
              <w:t>Performance metrics</w:t>
            </w:r>
          </w:p>
        </w:tc>
        <w:tc>
          <w:tcPr>
            <w:tcW w:w="4504" w:type="dxa"/>
            <w:shd w:val="clear" w:color="auto" w:fill="auto"/>
            <w:vAlign w:val="center"/>
          </w:tcPr>
          <w:p w:rsidR="009B70BD" w:rsidRDefault="0051047F">
            <w:pPr>
              <w:spacing w:after="0"/>
              <w:rPr>
                <w:color w:val="000000"/>
                <w:sz w:val="18"/>
                <w:szCs w:val="18"/>
              </w:rPr>
            </w:pPr>
            <w:r>
              <w:rPr>
                <w:rFonts w:hint="eastAsia"/>
                <w:color w:val="000000"/>
                <w:sz w:val="18"/>
                <w:szCs w:val="18"/>
              </w:rPr>
              <w:t>5%-</w:t>
            </w:r>
            <w:proofErr w:type="spellStart"/>
            <w:r>
              <w:rPr>
                <w:rFonts w:hint="eastAsia"/>
                <w:color w:val="000000"/>
                <w:sz w:val="18"/>
                <w:szCs w:val="18"/>
              </w:rPr>
              <w:t>ile</w:t>
            </w:r>
            <w:proofErr w:type="spellEnd"/>
            <w:r>
              <w:rPr>
                <w:rFonts w:hint="eastAsia"/>
                <w:color w:val="000000"/>
                <w:sz w:val="18"/>
                <w:szCs w:val="18"/>
              </w:rPr>
              <w:t xml:space="preserve"> and </w:t>
            </w:r>
            <w:r>
              <w:rPr>
                <w:color w:val="000000"/>
                <w:sz w:val="18"/>
                <w:szCs w:val="18"/>
              </w:rPr>
              <w:t>Average UPT</w:t>
            </w:r>
          </w:p>
        </w:tc>
      </w:tr>
    </w:tbl>
    <w:p w:rsidR="009B70BD" w:rsidRDefault="009B70BD">
      <w:pPr>
        <w:rPr>
          <w:bCs/>
          <w:szCs w:val="20"/>
        </w:rPr>
      </w:pPr>
    </w:p>
    <w:p w:rsidR="009B70BD" w:rsidRDefault="0051047F">
      <w:pPr>
        <w:jc w:val="center"/>
      </w:pPr>
      <w:r>
        <w:rPr>
          <w:rFonts w:hint="eastAsia"/>
          <w:b/>
          <w:bCs/>
        </w:rPr>
        <w:t xml:space="preserve">Table </w:t>
      </w:r>
      <w:r w:rsidR="00C65196">
        <w:rPr>
          <w:b/>
          <w:bCs/>
        </w:rPr>
        <w:t>5</w:t>
      </w:r>
      <w:r>
        <w:rPr>
          <w:rFonts w:hint="eastAsia"/>
        </w:rPr>
        <w:t xml:space="preserve"> SLS assumptions for the performance evaluation of inter-TRP time/frequency calibration</w:t>
      </w:r>
    </w:p>
    <w:tbl>
      <w:tblPr>
        <w:tblStyle w:val="af9"/>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2223"/>
      </w:tblGrid>
      <w:tr w:rsidR="009B70BD">
        <w:trPr>
          <w:trHeight w:val="313"/>
          <w:jc w:val="center"/>
        </w:trPr>
        <w:tc>
          <w:tcPr>
            <w:tcW w:w="3068" w:type="dxa"/>
            <w:shd w:val="clear" w:color="auto" w:fill="BFBFBF" w:themeFill="background1" w:themeFillShade="BF"/>
            <w:vAlign w:val="center"/>
          </w:tcPr>
          <w:p w:rsidR="009B70BD" w:rsidRDefault="0051047F">
            <w:pPr>
              <w:spacing w:after="0" w:line="240" w:lineRule="auto"/>
              <w:jc w:val="center"/>
            </w:pPr>
            <w:r>
              <w:rPr>
                <w:rFonts w:hint="eastAsia"/>
                <w:b/>
                <w:bCs/>
              </w:rPr>
              <w:t>Parameter</w:t>
            </w:r>
          </w:p>
        </w:tc>
        <w:tc>
          <w:tcPr>
            <w:tcW w:w="2223" w:type="dxa"/>
            <w:shd w:val="clear" w:color="auto" w:fill="BFBFBF" w:themeFill="background1" w:themeFillShade="BF"/>
            <w:vAlign w:val="center"/>
          </w:tcPr>
          <w:p w:rsidR="009B70BD" w:rsidRDefault="0051047F">
            <w:pPr>
              <w:spacing w:after="0" w:line="240" w:lineRule="auto"/>
              <w:jc w:val="center"/>
              <w:rPr>
                <w:b/>
                <w:bCs/>
              </w:rPr>
            </w:pPr>
            <w:r>
              <w:rPr>
                <w:rFonts w:hint="eastAsia"/>
                <w:b/>
                <w:bCs/>
              </w:rPr>
              <w:t>Value</w:t>
            </w:r>
          </w:p>
        </w:tc>
      </w:tr>
      <w:tr w:rsidR="009B70BD">
        <w:trPr>
          <w:trHeight w:val="313"/>
          <w:jc w:val="center"/>
        </w:trPr>
        <w:tc>
          <w:tcPr>
            <w:tcW w:w="3068" w:type="dxa"/>
            <w:vAlign w:val="center"/>
          </w:tcPr>
          <w:p w:rsidR="009B70BD" w:rsidRDefault="0051047F">
            <w:pPr>
              <w:spacing w:after="0" w:line="240" w:lineRule="auto"/>
              <w:jc w:val="center"/>
            </w:pPr>
            <w:r>
              <w:rPr>
                <w:rFonts w:hint="eastAsia"/>
              </w:rPr>
              <w:t>Number of antenna ports</w:t>
            </w:r>
          </w:p>
        </w:tc>
        <w:tc>
          <w:tcPr>
            <w:tcW w:w="2223" w:type="dxa"/>
            <w:vAlign w:val="center"/>
          </w:tcPr>
          <w:p w:rsidR="009B70BD" w:rsidRDefault="0051047F">
            <w:pPr>
              <w:spacing w:after="0" w:line="240" w:lineRule="auto"/>
              <w:jc w:val="center"/>
            </w:pPr>
            <w:r>
              <w:t>16T/4R</w:t>
            </w:r>
          </w:p>
        </w:tc>
      </w:tr>
      <w:tr w:rsidR="009B70BD">
        <w:trPr>
          <w:trHeight w:val="313"/>
          <w:jc w:val="center"/>
        </w:trPr>
        <w:tc>
          <w:tcPr>
            <w:tcW w:w="3068" w:type="dxa"/>
            <w:vAlign w:val="center"/>
          </w:tcPr>
          <w:p w:rsidR="009B70BD" w:rsidRDefault="0051047F">
            <w:pPr>
              <w:spacing w:after="0" w:line="240" w:lineRule="auto"/>
              <w:jc w:val="center"/>
            </w:pPr>
            <w:r>
              <w:rPr>
                <w:rFonts w:hint="eastAsia"/>
              </w:rPr>
              <w:t>Number of TRPs</w:t>
            </w:r>
          </w:p>
        </w:tc>
        <w:tc>
          <w:tcPr>
            <w:tcW w:w="2223" w:type="dxa"/>
            <w:vAlign w:val="center"/>
          </w:tcPr>
          <w:p w:rsidR="009B70BD" w:rsidRDefault="0051047F">
            <w:pPr>
              <w:spacing w:after="0" w:line="240" w:lineRule="auto"/>
              <w:jc w:val="center"/>
            </w:pPr>
            <w:r>
              <w:rPr>
                <w:rFonts w:hint="eastAsia"/>
              </w:rPr>
              <w:t>Up to 3</w:t>
            </w:r>
          </w:p>
        </w:tc>
      </w:tr>
      <w:tr w:rsidR="009B70BD">
        <w:trPr>
          <w:trHeight w:val="313"/>
          <w:jc w:val="center"/>
        </w:trPr>
        <w:tc>
          <w:tcPr>
            <w:tcW w:w="3068" w:type="dxa"/>
            <w:vAlign w:val="center"/>
          </w:tcPr>
          <w:p w:rsidR="009B70BD" w:rsidRDefault="0051047F">
            <w:pPr>
              <w:spacing w:after="0" w:line="240" w:lineRule="auto"/>
              <w:jc w:val="center"/>
            </w:pPr>
            <w:r>
              <w:rPr>
                <w:rFonts w:hint="eastAsia"/>
              </w:rPr>
              <w:t>Carrier frequency</w:t>
            </w:r>
          </w:p>
        </w:tc>
        <w:tc>
          <w:tcPr>
            <w:tcW w:w="2223" w:type="dxa"/>
            <w:vAlign w:val="center"/>
          </w:tcPr>
          <w:p w:rsidR="009B70BD" w:rsidRDefault="0051047F">
            <w:pPr>
              <w:spacing w:after="0" w:line="240" w:lineRule="auto"/>
              <w:jc w:val="center"/>
            </w:pPr>
            <w:r>
              <w:rPr>
                <w:rFonts w:hint="eastAsia"/>
              </w:rPr>
              <w:t>2GHz</w:t>
            </w:r>
          </w:p>
        </w:tc>
      </w:tr>
      <w:tr w:rsidR="009B70BD">
        <w:trPr>
          <w:trHeight w:val="313"/>
          <w:jc w:val="center"/>
        </w:trPr>
        <w:tc>
          <w:tcPr>
            <w:tcW w:w="3068" w:type="dxa"/>
            <w:vAlign w:val="center"/>
          </w:tcPr>
          <w:p w:rsidR="009B70BD" w:rsidRDefault="0051047F">
            <w:pPr>
              <w:spacing w:after="0" w:line="240" w:lineRule="auto"/>
              <w:jc w:val="center"/>
            </w:pPr>
            <w:r>
              <w:rPr>
                <w:rFonts w:hint="eastAsia"/>
              </w:rPr>
              <w:t>Frequency bandwidth</w:t>
            </w:r>
          </w:p>
        </w:tc>
        <w:tc>
          <w:tcPr>
            <w:tcW w:w="2223" w:type="dxa"/>
            <w:vAlign w:val="center"/>
          </w:tcPr>
          <w:p w:rsidR="009B70BD" w:rsidRDefault="0051047F">
            <w:pPr>
              <w:spacing w:after="0" w:line="240" w:lineRule="auto"/>
              <w:jc w:val="center"/>
            </w:pPr>
            <w:r>
              <w:t>52 RBs (10MHz)</w:t>
            </w:r>
          </w:p>
        </w:tc>
      </w:tr>
      <w:tr w:rsidR="009B70BD">
        <w:trPr>
          <w:trHeight w:val="313"/>
          <w:jc w:val="center"/>
        </w:trPr>
        <w:tc>
          <w:tcPr>
            <w:tcW w:w="3068" w:type="dxa"/>
            <w:vAlign w:val="center"/>
          </w:tcPr>
          <w:p w:rsidR="009B70BD" w:rsidRDefault="0051047F">
            <w:pPr>
              <w:spacing w:after="0" w:line="240" w:lineRule="auto"/>
              <w:jc w:val="center"/>
            </w:pPr>
            <w:r>
              <w:t>Freq</w:t>
            </w:r>
            <w:r>
              <w:rPr>
                <w:rFonts w:hint="eastAsia"/>
              </w:rPr>
              <w:t>uency</w:t>
            </w:r>
            <w:r>
              <w:t xml:space="preserve"> sync</w:t>
            </w:r>
            <w:r>
              <w:rPr>
                <w:rFonts w:hint="eastAsia"/>
              </w:rPr>
              <w:t>hronization</w:t>
            </w:r>
            <w:r>
              <w:t xml:space="preserve"> error</w:t>
            </w:r>
          </w:p>
        </w:tc>
        <w:tc>
          <w:tcPr>
            <w:tcW w:w="2223" w:type="dxa"/>
            <w:vAlign w:val="center"/>
          </w:tcPr>
          <w:p w:rsidR="009B70BD" w:rsidRDefault="0051047F">
            <w:pPr>
              <w:spacing w:after="0" w:line="240" w:lineRule="auto"/>
              <w:jc w:val="center"/>
            </w:pPr>
            <w:r>
              <w:t>0.01 ppm per TRP</w:t>
            </w:r>
          </w:p>
        </w:tc>
      </w:tr>
      <w:tr w:rsidR="009B70BD">
        <w:trPr>
          <w:trHeight w:val="313"/>
          <w:jc w:val="center"/>
        </w:trPr>
        <w:tc>
          <w:tcPr>
            <w:tcW w:w="3068" w:type="dxa"/>
            <w:vAlign w:val="center"/>
          </w:tcPr>
          <w:p w:rsidR="009B70BD" w:rsidRDefault="0051047F">
            <w:pPr>
              <w:spacing w:after="0" w:line="240" w:lineRule="auto"/>
              <w:jc w:val="center"/>
            </w:pPr>
            <w:r>
              <w:rPr>
                <w:rFonts w:hint="eastAsia"/>
              </w:rPr>
              <w:t>Inter-site distance</w:t>
            </w:r>
          </w:p>
        </w:tc>
        <w:tc>
          <w:tcPr>
            <w:tcW w:w="2223" w:type="dxa"/>
            <w:vAlign w:val="center"/>
          </w:tcPr>
          <w:p w:rsidR="009B70BD" w:rsidRDefault="0051047F">
            <w:pPr>
              <w:spacing w:after="0" w:line="240" w:lineRule="auto"/>
              <w:jc w:val="center"/>
            </w:pPr>
            <w:r>
              <w:t>500m</w:t>
            </w:r>
          </w:p>
        </w:tc>
      </w:tr>
      <w:tr w:rsidR="009B70BD">
        <w:trPr>
          <w:trHeight w:val="320"/>
          <w:jc w:val="center"/>
        </w:trPr>
        <w:tc>
          <w:tcPr>
            <w:tcW w:w="3068" w:type="dxa"/>
            <w:vAlign w:val="center"/>
          </w:tcPr>
          <w:p w:rsidR="009B70BD" w:rsidRDefault="0051047F">
            <w:pPr>
              <w:spacing w:after="0" w:line="240" w:lineRule="auto"/>
              <w:jc w:val="center"/>
            </w:pPr>
            <w:r>
              <w:t xml:space="preserve">CSI-RS </w:t>
            </w:r>
            <w:r>
              <w:rPr>
                <w:rFonts w:hint="eastAsia"/>
              </w:rPr>
              <w:t>p</w:t>
            </w:r>
            <w:r>
              <w:t>eriodicity</w:t>
            </w:r>
          </w:p>
        </w:tc>
        <w:tc>
          <w:tcPr>
            <w:tcW w:w="2223" w:type="dxa"/>
            <w:vAlign w:val="center"/>
          </w:tcPr>
          <w:p w:rsidR="009B70BD" w:rsidRDefault="0051047F">
            <w:pPr>
              <w:spacing w:after="0" w:line="240" w:lineRule="auto"/>
              <w:jc w:val="center"/>
            </w:pPr>
            <w:r>
              <w:t>5 slots</w:t>
            </w:r>
          </w:p>
        </w:tc>
      </w:tr>
      <w:tr w:rsidR="009B70BD">
        <w:trPr>
          <w:trHeight w:val="320"/>
          <w:jc w:val="center"/>
        </w:trPr>
        <w:tc>
          <w:tcPr>
            <w:tcW w:w="3068" w:type="dxa"/>
            <w:vAlign w:val="center"/>
          </w:tcPr>
          <w:p w:rsidR="009B70BD" w:rsidRDefault="0051047F">
            <w:pPr>
              <w:spacing w:after="0" w:line="240" w:lineRule="auto"/>
              <w:jc w:val="center"/>
            </w:pPr>
            <w:r>
              <w:t>Feedback delay</w:t>
            </w:r>
          </w:p>
        </w:tc>
        <w:tc>
          <w:tcPr>
            <w:tcW w:w="2223" w:type="dxa"/>
            <w:vAlign w:val="center"/>
          </w:tcPr>
          <w:p w:rsidR="009B70BD" w:rsidRDefault="0051047F">
            <w:pPr>
              <w:spacing w:after="0" w:line="240" w:lineRule="auto"/>
              <w:jc w:val="center"/>
            </w:pPr>
            <w:r>
              <w:t>4 slots</w:t>
            </w:r>
          </w:p>
        </w:tc>
      </w:tr>
      <w:tr w:rsidR="009B70BD">
        <w:trPr>
          <w:trHeight w:val="320"/>
          <w:jc w:val="center"/>
        </w:trPr>
        <w:tc>
          <w:tcPr>
            <w:tcW w:w="3068" w:type="dxa"/>
            <w:vAlign w:val="center"/>
          </w:tcPr>
          <w:p w:rsidR="009B70BD" w:rsidRDefault="0051047F">
            <w:pPr>
              <w:spacing w:after="0" w:line="240" w:lineRule="auto"/>
              <w:jc w:val="center"/>
            </w:pPr>
            <w:r>
              <w:t>CSI subband</w:t>
            </w:r>
          </w:p>
        </w:tc>
        <w:tc>
          <w:tcPr>
            <w:tcW w:w="2223" w:type="dxa"/>
            <w:vAlign w:val="center"/>
          </w:tcPr>
          <w:p w:rsidR="009B70BD" w:rsidRDefault="0051047F">
            <w:pPr>
              <w:spacing w:after="0" w:line="240" w:lineRule="auto"/>
              <w:jc w:val="center"/>
            </w:pPr>
            <w:r>
              <w:t>4 RB &amp; R=2</w:t>
            </w:r>
          </w:p>
        </w:tc>
      </w:tr>
    </w:tbl>
    <w:p w:rsidR="009B70BD" w:rsidRDefault="009B70BD">
      <w:pPr>
        <w:rPr>
          <w:bCs/>
          <w:szCs w:val="20"/>
        </w:rPr>
      </w:pPr>
    </w:p>
    <w:sectPr w:rsidR="009B70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39D" w:rsidRDefault="00D2139D">
      <w:pPr>
        <w:spacing w:line="240" w:lineRule="auto"/>
      </w:pPr>
      <w:r>
        <w:separator/>
      </w:r>
    </w:p>
  </w:endnote>
  <w:endnote w:type="continuationSeparator" w:id="0">
    <w:p w:rsidR="00D2139D" w:rsidRDefault="00D213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39D" w:rsidRDefault="00D2139D">
      <w:pPr>
        <w:spacing w:after="0"/>
      </w:pPr>
      <w:r>
        <w:separator/>
      </w:r>
    </w:p>
  </w:footnote>
  <w:footnote w:type="continuationSeparator" w:id="0">
    <w:p w:rsidR="00D2139D" w:rsidRDefault="00D213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CA0C9DF1"/>
    <w:multiLevelType w:val="singleLevel"/>
    <w:tmpl w:val="CA0C9DF1"/>
    <w:lvl w:ilvl="0">
      <w:start w:val="1"/>
      <w:numFmt w:val="bullet"/>
      <w:lvlText w:val="–"/>
      <w:lvlJc w:val="left"/>
      <w:pPr>
        <w:tabs>
          <w:tab w:val="left" w:pos="420"/>
        </w:tabs>
        <w:ind w:left="840" w:hanging="420"/>
      </w:pPr>
      <w:rPr>
        <w:rFonts w:ascii="Times New Roman" w:eastAsia="微软雅黑" w:hAnsi="Times New Roman" w:cs="Times New Roman"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9C0DBD"/>
    <w:multiLevelType w:val="multilevel"/>
    <w:tmpl w:val="169C0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2A575B89"/>
    <w:multiLevelType w:val="multilevel"/>
    <w:tmpl w:val="2A575B89"/>
    <w:lvl w:ilvl="0">
      <w:start w:val="1"/>
      <w:numFmt w:val="bullet"/>
      <w:lvlText w:val="–"/>
      <w:lvlJc w:val="left"/>
      <w:pPr>
        <w:tabs>
          <w:tab w:val="left" w:pos="420"/>
        </w:tabs>
        <w:ind w:left="840" w:hanging="420"/>
      </w:pPr>
      <w:rPr>
        <w:rFonts w:ascii="Times New Roman" w:eastAsia="微软雅黑" w:hAnsi="Times New Roman" w:cs="Times New Roman" w:hint="default"/>
      </w:rPr>
    </w:lvl>
    <w:lvl w:ilvl="1">
      <w:start w:val="1"/>
      <w:numFmt w:val="bullet"/>
      <w:lvlText w:val="□"/>
      <w:lvlJc w:val="left"/>
      <w:pPr>
        <w:tabs>
          <w:tab w:val="left" w:pos="840"/>
        </w:tabs>
        <w:ind w:left="1260" w:hanging="420"/>
      </w:pPr>
      <w:rPr>
        <w:rFonts w:ascii="Times New Roman" w:hAnsi="Times New Roman" w:cs="Times New Roman" w:hint="default"/>
      </w:rPr>
    </w:lvl>
    <w:lvl w:ilvl="2">
      <w:start w:val="1"/>
      <w:numFmt w:val="bullet"/>
      <w:lvlText w:val="○"/>
      <w:lvlJc w:val="left"/>
      <w:pPr>
        <w:tabs>
          <w:tab w:val="left" w:pos="1260"/>
        </w:tabs>
        <w:ind w:left="1680" w:hanging="420"/>
      </w:pPr>
      <w:rPr>
        <w:rFonts w:ascii="Times New Roman" w:hAnsi="Times New Roman" w:cs="Times New Roman"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
      <w:lvlJc w:val="left"/>
      <w:pPr>
        <w:ind w:left="1491" w:hanging="360"/>
      </w:pPr>
      <w:rPr>
        <w:rFonts w:ascii="Times New Roman" w:hAnsi="Times New Roman" w:cs="Times New Roman" w:hint="default"/>
      </w:rPr>
    </w:lvl>
    <w:lvl w:ilvl="2">
      <w:start w:val="1"/>
      <w:numFmt w:val="bullet"/>
      <w:lvlText w:val="○"/>
      <w:lvlJc w:val="left"/>
      <w:pPr>
        <w:ind w:left="2211" w:hanging="360"/>
      </w:pPr>
      <w:rPr>
        <w:rFonts w:ascii="Times New Roman" w:hAnsi="Times New Roman" w:cs="Times New Roman"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2"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0465BD"/>
    <w:multiLevelType w:val="multilevel"/>
    <w:tmpl w:val="580465BD"/>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93823A"/>
    <w:multiLevelType w:val="singleLevel"/>
    <w:tmpl w:val="5E93823A"/>
    <w:lvl w:ilvl="0">
      <w:start w:val="1"/>
      <w:numFmt w:val="decimal"/>
      <w:suff w:val="space"/>
      <w:lvlText w:val="[%1]"/>
      <w:lvlJc w:val="left"/>
    </w:lvl>
  </w:abstractNum>
  <w:abstractNum w:abstractNumId="1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3"/>
  </w:num>
  <w:num w:numId="3">
    <w:abstractNumId w:val="20"/>
  </w:num>
  <w:num w:numId="4">
    <w:abstractNumId w:val="4"/>
  </w:num>
  <w:num w:numId="5">
    <w:abstractNumId w:val="19"/>
  </w:num>
  <w:num w:numId="6">
    <w:abstractNumId w:val="13"/>
  </w:num>
  <w:num w:numId="7">
    <w:abstractNumId w:val="11"/>
  </w:num>
  <w:num w:numId="8">
    <w:abstractNumId w:val="7"/>
  </w:num>
  <w:num w:numId="9">
    <w:abstractNumId w:val="21"/>
  </w:num>
  <w:num w:numId="10">
    <w:abstractNumId w:val="10"/>
  </w:num>
  <w:num w:numId="11">
    <w:abstractNumId w:val="9"/>
  </w:num>
  <w:num w:numId="12">
    <w:abstractNumId w:val="16"/>
  </w:num>
  <w:num w:numId="13">
    <w:abstractNumId w:val="8"/>
  </w:num>
  <w:num w:numId="14">
    <w:abstractNumId w:val="15"/>
  </w:num>
  <w:num w:numId="15">
    <w:abstractNumId w:val="6"/>
  </w:num>
  <w:num w:numId="16">
    <w:abstractNumId w:val="5"/>
  </w:num>
  <w:num w:numId="17">
    <w:abstractNumId w:val="12"/>
  </w:num>
  <w:num w:numId="18">
    <w:abstractNumId w:val="18"/>
  </w:num>
  <w:num w:numId="19">
    <w:abstractNumId w:val="1"/>
  </w:num>
  <w:num w:numId="20">
    <w:abstractNumId w:val="2"/>
  </w:num>
  <w:num w:numId="21">
    <w:abstractNumId w:val="1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7CA"/>
    <w:rsid w:val="00002C54"/>
    <w:rsid w:val="00002EA0"/>
    <w:rsid w:val="0000349F"/>
    <w:rsid w:val="000038B7"/>
    <w:rsid w:val="00003A61"/>
    <w:rsid w:val="000044E2"/>
    <w:rsid w:val="00004558"/>
    <w:rsid w:val="000049A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2B0"/>
    <w:rsid w:val="00025417"/>
    <w:rsid w:val="00025524"/>
    <w:rsid w:val="00025695"/>
    <w:rsid w:val="000257BD"/>
    <w:rsid w:val="00025E69"/>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2D"/>
    <w:rsid w:val="00032289"/>
    <w:rsid w:val="000322B0"/>
    <w:rsid w:val="000326FB"/>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A71"/>
    <w:rsid w:val="00036055"/>
    <w:rsid w:val="00036250"/>
    <w:rsid w:val="00037260"/>
    <w:rsid w:val="0003750E"/>
    <w:rsid w:val="00037AF2"/>
    <w:rsid w:val="00037F58"/>
    <w:rsid w:val="00037F59"/>
    <w:rsid w:val="000402A0"/>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F04"/>
    <w:rsid w:val="00050FC3"/>
    <w:rsid w:val="000518D2"/>
    <w:rsid w:val="00051A81"/>
    <w:rsid w:val="00051CF3"/>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DBF"/>
    <w:rsid w:val="00062F51"/>
    <w:rsid w:val="0006302F"/>
    <w:rsid w:val="000631EB"/>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E"/>
    <w:rsid w:val="00076CD3"/>
    <w:rsid w:val="0007723B"/>
    <w:rsid w:val="000775EA"/>
    <w:rsid w:val="000776AF"/>
    <w:rsid w:val="00077803"/>
    <w:rsid w:val="00077B9A"/>
    <w:rsid w:val="00077BF8"/>
    <w:rsid w:val="00077CAD"/>
    <w:rsid w:val="00077EB8"/>
    <w:rsid w:val="000800AF"/>
    <w:rsid w:val="000801BC"/>
    <w:rsid w:val="00080456"/>
    <w:rsid w:val="0008046A"/>
    <w:rsid w:val="00080A41"/>
    <w:rsid w:val="00080A89"/>
    <w:rsid w:val="00080BB6"/>
    <w:rsid w:val="00080DAA"/>
    <w:rsid w:val="0008126C"/>
    <w:rsid w:val="000816E9"/>
    <w:rsid w:val="000819A5"/>
    <w:rsid w:val="00081D69"/>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D13"/>
    <w:rsid w:val="00090080"/>
    <w:rsid w:val="000900C5"/>
    <w:rsid w:val="000902F8"/>
    <w:rsid w:val="000903CA"/>
    <w:rsid w:val="00090B8B"/>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955"/>
    <w:rsid w:val="0009551E"/>
    <w:rsid w:val="000955A4"/>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A0282"/>
    <w:rsid w:val="000A030E"/>
    <w:rsid w:val="000A06DC"/>
    <w:rsid w:val="000A0B41"/>
    <w:rsid w:val="000A0E8E"/>
    <w:rsid w:val="000A1279"/>
    <w:rsid w:val="000A13C0"/>
    <w:rsid w:val="000A1428"/>
    <w:rsid w:val="000A145E"/>
    <w:rsid w:val="000A1A8F"/>
    <w:rsid w:val="000A1AB7"/>
    <w:rsid w:val="000A1C7B"/>
    <w:rsid w:val="000A1C7D"/>
    <w:rsid w:val="000A1E25"/>
    <w:rsid w:val="000A1E32"/>
    <w:rsid w:val="000A23F3"/>
    <w:rsid w:val="000A2795"/>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707"/>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5C72"/>
    <w:rsid w:val="000B5DF2"/>
    <w:rsid w:val="000B606A"/>
    <w:rsid w:val="000B6302"/>
    <w:rsid w:val="000B6354"/>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3027"/>
    <w:rsid w:val="000C33BB"/>
    <w:rsid w:val="000C3539"/>
    <w:rsid w:val="000C395E"/>
    <w:rsid w:val="000C3BDA"/>
    <w:rsid w:val="000C4240"/>
    <w:rsid w:val="000C429A"/>
    <w:rsid w:val="000C45FE"/>
    <w:rsid w:val="000C4972"/>
    <w:rsid w:val="000C4ECD"/>
    <w:rsid w:val="000C577F"/>
    <w:rsid w:val="000C5E7D"/>
    <w:rsid w:val="000C62FC"/>
    <w:rsid w:val="000C64C0"/>
    <w:rsid w:val="000C6632"/>
    <w:rsid w:val="000C6C88"/>
    <w:rsid w:val="000C735C"/>
    <w:rsid w:val="000C7443"/>
    <w:rsid w:val="000C7512"/>
    <w:rsid w:val="000C7D1C"/>
    <w:rsid w:val="000C7FB7"/>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003"/>
    <w:rsid w:val="000F3136"/>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3B"/>
    <w:rsid w:val="00105D9D"/>
    <w:rsid w:val="00106C91"/>
    <w:rsid w:val="00107894"/>
    <w:rsid w:val="00107BF2"/>
    <w:rsid w:val="00107D9C"/>
    <w:rsid w:val="00110751"/>
    <w:rsid w:val="00110916"/>
    <w:rsid w:val="0011099C"/>
    <w:rsid w:val="00110C23"/>
    <w:rsid w:val="00110FD1"/>
    <w:rsid w:val="0011172D"/>
    <w:rsid w:val="00111964"/>
    <w:rsid w:val="00111D4B"/>
    <w:rsid w:val="00112302"/>
    <w:rsid w:val="0011277E"/>
    <w:rsid w:val="00112C2B"/>
    <w:rsid w:val="00112E6C"/>
    <w:rsid w:val="00113195"/>
    <w:rsid w:val="00113610"/>
    <w:rsid w:val="00113731"/>
    <w:rsid w:val="00113749"/>
    <w:rsid w:val="0011377E"/>
    <w:rsid w:val="0011397A"/>
    <w:rsid w:val="0011409D"/>
    <w:rsid w:val="0011461E"/>
    <w:rsid w:val="001147FE"/>
    <w:rsid w:val="00114C04"/>
    <w:rsid w:val="00114D59"/>
    <w:rsid w:val="001151A8"/>
    <w:rsid w:val="00115268"/>
    <w:rsid w:val="001154E0"/>
    <w:rsid w:val="00115516"/>
    <w:rsid w:val="001157F5"/>
    <w:rsid w:val="0011584B"/>
    <w:rsid w:val="0011660A"/>
    <w:rsid w:val="001166D4"/>
    <w:rsid w:val="00116B77"/>
    <w:rsid w:val="001171B4"/>
    <w:rsid w:val="0011733A"/>
    <w:rsid w:val="001174B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E18"/>
    <w:rsid w:val="00130FE5"/>
    <w:rsid w:val="001315A9"/>
    <w:rsid w:val="001317A7"/>
    <w:rsid w:val="00131A50"/>
    <w:rsid w:val="001321B3"/>
    <w:rsid w:val="00132346"/>
    <w:rsid w:val="00132581"/>
    <w:rsid w:val="00132A1F"/>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9D4"/>
    <w:rsid w:val="001421E2"/>
    <w:rsid w:val="00142807"/>
    <w:rsid w:val="00142923"/>
    <w:rsid w:val="00142C07"/>
    <w:rsid w:val="00142F21"/>
    <w:rsid w:val="0014300D"/>
    <w:rsid w:val="0014310C"/>
    <w:rsid w:val="0014320C"/>
    <w:rsid w:val="00143300"/>
    <w:rsid w:val="001433AF"/>
    <w:rsid w:val="0014343D"/>
    <w:rsid w:val="001436C3"/>
    <w:rsid w:val="00143B33"/>
    <w:rsid w:val="00143EB9"/>
    <w:rsid w:val="0014425D"/>
    <w:rsid w:val="00144E7C"/>
    <w:rsid w:val="00144E90"/>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514"/>
    <w:rsid w:val="00162793"/>
    <w:rsid w:val="00162978"/>
    <w:rsid w:val="00162C48"/>
    <w:rsid w:val="00162D0E"/>
    <w:rsid w:val="00162D8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BDB"/>
    <w:rsid w:val="00166659"/>
    <w:rsid w:val="001666CA"/>
    <w:rsid w:val="001667E7"/>
    <w:rsid w:val="00166BF2"/>
    <w:rsid w:val="00167146"/>
    <w:rsid w:val="0016790F"/>
    <w:rsid w:val="00167F51"/>
    <w:rsid w:val="00167FDF"/>
    <w:rsid w:val="0017067F"/>
    <w:rsid w:val="00170C25"/>
    <w:rsid w:val="00170D4E"/>
    <w:rsid w:val="00171303"/>
    <w:rsid w:val="0017169D"/>
    <w:rsid w:val="00171EE9"/>
    <w:rsid w:val="00172053"/>
    <w:rsid w:val="001721C2"/>
    <w:rsid w:val="001725D6"/>
    <w:rsid w:val="00172A27"/>
    <w:rsid w:val="00172DAB"/>
    <w:rsid w:val="001732CF"/>
    <w:rsid w:val="001734CD"/>
    <w:rsid w:val="001735EF"/>
    <w:rsid w:val="00173748"/>
    <w:rsid w:val="0017377D"/>
    <w:rsid w:val="00173A32"/>
    <w:rsid w:val="00173AF4"/>
    <w:rsid w:val="0017400C"/>
    <w:rsid w:val="001740D8"/>
    <w:rsid w:val="0017436A"/>
    <w:rsid w:val="001744B9"/>
    <w:rsid w:val="001746CD"/>
    <w:rsid w:val="00174711"/>
    <w:rsid w:val="00174885"/>
    <w:rsid w:val="00174C3B"/>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509B"/>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47D"/>
    <w:rsid w:val="001E14E7"/>
    <w:rsid w:val="001E16BA"/>
    <w:rsid w:val="001E16D4"/>
    <w:rsid w:val="001E1705"/>
    <w:rsid w:val="001E1760"/>
    <w:rsid w:val="001E1A77"/>
    <w:rsid w:val="001E2890"/>
    <w:rsid w:val="001E2A05"/>
    <w:rsid w:val="001E2AD1"/>
    <w:rsid w:val="001E2B19"/>
    <w:rsid w:val="001E2C50"/>
    <w:rsid w:val="001E2CBC"/>
    <w:rsid w:val="001E308B"/>
    <w:rsid w:val="001E327B"/>
    <w:rsid w:val="001E351E"/>
    <w:rsid w:val="001E35C2"/>
    <w:rsid w:val="001E38F2"/>
    <w:rsid w:val="001E3D04"/>
    <w:rsid w:val="001E4A01"/>
    <w:rsid w:val="001E4AEB"/>
    <w:rsid w:val="001E50DD"/>
    <w:rsid w:val="001E5142"/>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99E"/>
    <w:rsid w:val="001F0F78"/>
    <w:rsid w:val="001F107D"/>
    <w:rsid w:val="001F1E75"/>
    <w:rsid w:val="001F20D6"/>
    <w:rsid w:val="001F20FE"/>
    <w:rsid w:val="001F2187"/>
    <w:rsid w:val="001F261D"/>
    <w:rsid w:val="001F267F"/>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044"/>
    <w:rsid w:val="00200425"/>
    <w:rsid w:val="0020059A"/>
    <w:rsid w:val="002007F6"/>
    <w:rsid w:val="002008F3"/>
    <w:rsid w:val="00200E3F"/>
    <w:rsid w:val="0020130A"/>
    <w:rsid w:val="002016F0"/>
    <w:rsid w:val="00201915"/>
    <w:rsid w:val="00201AF1"/>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5FA8"/>
    <w:rsid w:val="00206041"/>
    <w:rsid w:val="002063AA"/>
    <w:rsid w:val="002066D4"/>
    <w:rsid w:val="00207908"/>
    <w:rsid w:val="00207C88"/>
    <w:rsid w:val="00210101"/>
    <w:rsid w:val="00210674"/>
    <w:rsid w:val="002107FA"/>
    <w:rsid w:val="00210C30"/>
    <w:rsid w:val="00210D81"/>
    <w:rsid w:val="00210DE9"/>
    <w:rsid w:val="00211503"/>
    <w:rsid w:val="002119E2"/>
    <w:rsid w:val="00211D9F"/>
    <w:rsid w:val="00212021"/>
    <w:rsid w:val="002122A5"/>
    <w:rsid w:val="00212363"/>
    <w:rsid w:val="002123C7"/>
    <w:rsid w:val="002124EB"/>
    <w:rsid w:val="00212544"/>
    <w:rsid w:val="00212783"/>
    <w:rsid w:val="002129CC"/>
    <w:rsid w:val="00212ABB"/>
    <w:rsid w:val="0021300C"/>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C58"/>
    <w:rsid w:val="00217F6D"/>
    <w:rsid w:val="0022008A"/>
    <w:rsid w:val="002201BE"/>
    <w:rsid w:val="0022028A"/>
    <w:rsid w:val="0022060B"/>
    <w:rsid w:val="00220667"/>
    <w:rsid w:val="002206EF"/>
    <w:rsid w:val="0022090B"/>
    <w:rsid w:val="00220E42"/>
    <w:rsid w:val="00220F1A"/>
    <w:rsid w:val="0022100B"/>
    <w:rsid w:val="002215D5"/>
    <w:rsid w:val="00221997"/>
    <w:rsid w:val="00221B5C"/>
    <w:rsid w:val="00221B7B"/>
    <w:rsid w:val="002221B8"/>
    <w:rsid w:val="0022238A"/>
    <w:rsid w:val="002224E9"/>
    <w:rsid w:val="00222BF6"/>
    <w:rsid w:val="00222DC3"/>
    <w:rsid w:val="00222E31"/>
    <w:rsid w:val="00223157"/>
    <w:rsid w:val="00223F67"/>
    <w:rsid w:val="00224252"/>
    <w:rsid w:val="002245BF"/>
    <w:rsid w:val="002247A3"/>
    <w:rsid w:val="0022480F"/>
    <w:rsid w:val="0022511B"/>
    <w:rsid w:val="00225AF6"/>
    <w:rsid w:val="00225BD5"/>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997"/>
    <w:rsid w:val="00233B0D"/>
    <w:rsid w:val="0023420A"/>
    <w:rsid w:val="002349CC"/>
    <w:rsid w:val="00234EDC"/>
    <w:rsid w:val="002357D4"/>
    <w:rsid w:val="0023589D"/>
    <w:rsid w:val="0023590E"/>
    <w:rsid w:val="00235E20"/>
    <w:rsid w:val="00236533"/>
    <w:rsid w:val="002373FD"/>
    <w:rsid w:val="00240285"/>
    <w:rsid w:val="0024092D"/>
    <w:rsid w:val="00240AEF"/>
    <w:rsid w:val="00240B53"/>
    <w:rsid w:val="00240C3D"/>
    <w:rsid w:val="00240EA6"/>
    <w:rsid w:val="002414DB"/>
    <w:rsid w:val="002417CB"/>
    <w:rsid w:val="00241BBD"/>
    <w:rsid w:val="00241E46"/>
    <w:rsid w:val="00242322"/>
    <w:rsid w:val="002424E5"/>
    <w:rsid w:val="0024289A"/>
    <w:rsid w:val="002429CA"/>
    <w:rsid w:val="002429EF"/>
    <w:rsid w:val="00242A00"/>
    <w:rsid w:val="00242E72"/>
    <w:rsid w:val="00242EBC"/>
    <w:rsid w:val="00243292"/>
    <w:rsid w:val="002439C6"/>
    <w:rsid w:val="00243C86"/>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7277"/>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5C39"/>
    <w:rsid w:val="00256313"/>
    <w:rsid w:val="0025684A"/>
    <w:rsid w:val="00256A6C"/>
    <w:rsid w:val="00256B05"/>
    <w:rsid w:val="00256FEC"/>
    <w:rsid w:val="0025705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7A9"/>
    <w:rsid w:val="00276D62"/>
    <w:rsid w:val="00276DFF"/>
    <w:rsid w:val="0027724B"/>
    <w:rsid w:val="00277270"/>
    <w:rsid w:val="00277A3E"/>
    <w:rsid w:val="00277BBF"/>
    <w:rsid w:val="00277C39"/>
    <w:rsid w:val="002801D5"/>
    <w:rsid w:val="0028042C"/>
    <w:rsid w:val="00280476"/>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5C3"/>
    <w:rsid w:val="00284756"/>
    <w:rsid w:val="00284A55"/>
    <w:rsid w:val="00284B9F"/>
    <w:rsid w:val="00284C5C"/>
    <w:rsid w:val="00284DF3"/>
    <w:rsid w:val="00285287"/>
    <w:rsid w:val="00285621"/>
    <w:rsid w:val="00285C7A"/>
    <w:rsid w:val="00285F48"/>
    <w:rsid w:val="002860A4"/>
    <w:rsid w:val="00286516"/>
    <w:rsid w:val="002872DF"/>
    <w:rsid w:val="00287547"/>
    <w:rsid w:val="00287644"/>
    <w:rsid w:val="002876BF"/>
    <w:rsid w:val="00287FB3"/>
    <w:rsid w:val="00290010"/>
    <w:rsid w:val="0029055B"/>
    <w:rsid w:val="002909F3"/>
    <w:rsid w:val="00290B6A"/>
    <w:rsid w:val="0029112B"/>
    <w:rsid w:val="00291352"/>
    <w:rsid w:val="00291434"/>
    <w:rsid w:val="00291543"/>
    <w:rsid w:val="00292016"/>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D40"/>
    <w:rsid w:val="00297100"/>
    <w:rsid w:val="0029739A"/>
    <w:rsid w:val="00297525"/>
    <w:rsid w:val="002975E2"/>
    <w:rsid w:val="00297B04"/>
    <w:rsid w:val="00297F72"/>
    <w:rsid w:val="002A025C"/>
    <w:rsid w:val="002A05CB"/>
    <w:rsid w:val="002A077C"/>
    <w:rsid w:val="002A0EB4"/>
    <w:rsid w:val="002A1162"/>
    <w:rsid w:val="002A1182"/>
    <w:rsid w:val="002A14AE"/>
    <w:rsid w:val="002A18DD"/>
    <w:rsid w:val="002A19BE"/>
    <w:rsid w:val="002A1A1B"/>
    <w:rsid w:val="002A21F8"/>
    <w:rsid w:val="002A2751"/>
    <w:rsid w:val="002A2D4E"/>
    <w:rsid w:val="002A2FAC"/>
    <w:rsid w:val="002A300C"/>
    <w:rsid w:val="002A3CD9"/>
    <w:rsid w:val="002A425C"/>
    <w:rsid w:val="002A43F3"/>
    <w:rsid w:val="002A44C0"/>
    <w:rsid w:val="002A46EE"/>
    <w:rsid w:val="002A479E"/>
    <w:rsid w:val="002A498D"/>
    <w:rsid w:val="002A4993"/>
    <w:rsid w:val="002A51ED"/>
    <w:rsid w:val="002A5889"/>
    <w:rsid w:val="002A5891"/>
    <w:rsid w:val="002A5CF1"/>
    <w:rsid w:val="002A5D90"/>
    <w:rsid w:val="002A5E9E"/>
    <w:rsid w:val="002A5F9B"/>
    <w:rsid w:val="002A6473"/>
    <w:rsid w:val="002A66EA"/>
    <w:rsid w:val="002A6AA5"/>
    <w:rsid w:val="002A6CC1"/>
    <w:rsid w:val="002A6DC2"/>
    <w:rsid w:val="002A74A3"/>
    <w:rsid w:val="002A7514"/>
    <w:rsid w:val="002A7680"/>
    <w:rsid w:val="002A7C13"/>
    <w:rsid w:val="002A7E40"/>
    <w:rsid w:val="002B00AF"/>
    <w:rsid w:val="002B033B"/>
    <w:rsid w:val="002B0BF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5C88"/>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8A4"/>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3EF"/>
    <w:rsid w:val="002E547F"/>
    <w:rsid w:val="002E5CF5"/>
    <w:rsid w:val="002E62E1"/>
    <w:rsid w:val="002E7018"/>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892"/>
    <w:rsid w:val="00310A2A"/>
    <w:rsid w:val="00310ABF"/>
    <w:rsid w:val="00310F9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F0D"/>
    <w:rsid w:val="003140E3"/>
    <w:rsid w:val="003141D5"/>
    <w:rsid w:val="0031454E"/>
    <w:rsid w:val="003147A0"/>
    <w:rsid w:val="003148FD"/>
    <w:rsid w:val="00314EA2"/>
    <w:rsid w:val="00314F17"/>
    <w:rsid w:val="0031501D"/>
    <w:rsid w:val="0031507B"/>
    <w:rsid w:val="0031539B"/>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BE3"/>
    <w:rsid w:val="00323E61"/>
    <w:rsid w:val="00324109"/>
    <w:rsid w:val="00324AEF"/>
    <w:rsid w:val="00324E55"/>
    <w:rsid w:val="00325130"/>
    <w:rsid w:val="003258CA"/>
    <w:rsid w:val="003259E2"/>
    <w:rsid w:val="00325A85"/>
    <w:rsid w:val="00325BAE"/>
    <w:rsid w:val="00325FC8"/>
    <w:rsid w:val="00326388"/>
    <w:rsid w:val="0032692E"/>
    <w:rsid w:val="00326AB8"/>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036"/>
    <w:rsid w:val="00333385"/>
    <w:rsid w:val="0033344C"/>
    <w:rsid w:val="00333A42"/>
    <w:rsid w:val="00333FB1"/>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F9"/>
    <w:rsid w:val="00343A07"/>
    <w:rsid w:val="00343A0D"/>
    <w:rsid w:val="00343E41"/>
    <w:rsid w:val="0034418C"/>
    <w:rsid w:val="003445FC"/>
    <w:rsid w:val="00344655"/>
    <w:rsid w:val="00344841"/>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4E8A"/>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927"/>
    <w:rsid w:val="00361DBA"/>
    <w:rsid w:val="00361DCD"/>
    <w:rsid w:val="00361E83"/>
    <w:rsid w:val="0036217E"/>
    <w:rsid w:val="00362849"/>
    <w:rsid w:val="00363394"/>
    <w:rsid w:val="00363673"/>
    <w:rsid w:val="00363806"/>
    <w:rsid w:val="00363E97"/>
    <w:rsid w:val="00364480"/>
    <w:rsid w:val="00364B78"/>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1C3"/>
    <w:rsid w:val="00394630"/>
    <w:rsid w:val="00394B1C"/>
    <w:rsid w:val="003956BA"/>
    <w:rsid w:val="0039580A"/>
    <w:rsid w:val="003959B5"/>
    <w:rsid w:val="00395C29"/>
    <w:rsid w:val="00396876"/>
    <w:rsid w:val="003968EC"/>
    <w:rsid w:val="003969E0"/>
    <w:rsid w:val="00396CDF"/>
    <w:rsid w:val="003972ED"/>
    <w:rsid w:val="003974C0"/>
    <w:rsid w:val="00397804"/>
    <w:rsid w:val="003A012F"/>
    <w:rsid w:val="003A0DB2"/>
    <w:rsid w:val="003A0FE0"/>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C13"/>
    <w:rsid w:val="003B0C3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5C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CB6"/>
    <w:rsid w:val="003C5E02"/>
    <w:rsid w:val="003C61E7"/>
    <w:rsid w:val="003C66C3"/>
    <w:rsid w:val="003C66D9"/>
    <w:rsid w:val="003C68F2"/>
    <w:rsid w:val="003C6A55"/>
    <w:rsid w:val="003C6B8A"/>
    <w:rsid w:val="003C6E3B"/>
    <w:rsid w:val="003C6F3B"/>
    <w:rsid w:val="003C704B"/>
    <w:rsid w:val="003C7250"/>
    <w:rsid w:val="003C7307"/>
    <w:rsid w:val="003C7562"/>
    <w:rsid w:val="003C7CBD"/>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CAB"/>
    <w:rsid w:val="003D413A"/>
    <w:rsid w:val="003D428C"/>
    <w:rsid w:val="003D43CB"/>
    <w:rsid w:val="003D46A0"/>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B6"/>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5B8"/>
    <w:rsid w:val="003E36C7"/>
    <w:rsid w:val="003E39D6"/>
    <w:rsid w:val="003E3AE3"/>
    <w:rsid w:val="003E3B16"/>
    <w:rsid w:val="003E3C0F"/>
    <w:rsid w:val="003E3CE1"/>
    <w:rsid w:val="003E3E5C"/>
    <w:rsid w:val="003E3F0A"/>
    <w:rsid w:val="003E423A"/>
    <w:rsid w:val="003E43D1"/>
    <w:rsid w:val="003E451F"/>
    <w:rsid w:val="003E490B"/>
    <w:rsid w:val="003E4D54"/>
    <w:rsid w:val="003E4D9F"/>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ECE"/>
    <w:rsid w:val="003F110E"/>
    <w:rsid w:val="003F1167"/>
    <w:rsid w:val="003F12D0"/>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213"/>
    <w:rsid w:val="003F73AE"/>
    <w:rsid w:val="003F77C9"/>
    <w:rsid w:val="003F77F7"/>
    <w:rsid w:val="003F7860"/>
    <w:rsid w:val="003F7883"/>
    <w:rsid w:val="003F7AB8"/>
    <w:rsid w:val="0040038A"/>
    <w:rsid w:val="004005F4"/>
    <w:rsid w:val="00400B91"/>
    <w:rsid w:val="00400F2D"/>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0AF9"/>
    <w:rsid w:val="004115E6"/>
    <w:rsid w:val="004116B5"/>
    <w:rsid w:val="0041183D"/>
    <w:rsid w:val="00411C50"/>
    <w:rsid w:val="0041238A"/>
    <w:rsid w:val="00412562"/>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15D"/>
    <w:rsid w:val="0042159A"/>
    <w:rsid w:val="004215C3"/>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4DC"/>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4F41"/>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28B"/>
    <w:rsid w:val="00453494"/>
    <w:rsid w:val="00453B53"/>
    <w:rsid w:val="00453D19"/>
    <w:rsid w:val="00453DD9"/>
    <w:rsid w:val="00454522"/>
    <w:rsid w:val="00454582"/>
    <w:rsid w:val="00454744"/>
    <w:rsid w:val="00455558"/>
    <w:rsid w:val="004555F2"/>
    <w:rsid w:val="00455AFC"/>
    <w:rsid w:val="00455B9C"/>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940"/>
    <w:rsid w:val="00462AF9"/>
    <w:rsid w:val="00462C92"/>
    <w:rsid w:val="00462D0F"/>
    <w:rsid w:val="004631AC"/>
    <w:rsid w:val="0046331A"/>
    <w:rsid w:val="00464085"/>
    <w:rsid w:val="004644CA"/>
    <w:rsid w:val="004648B7"/>
    <w:rsid w:val="004657D7"/>
    <w:rsid w:val="00465CFD"/>
    <w:rsid w:val="00465D24"/>
    <w:rsid w:val="00465EF2"/>
    <w:rsid w:val="004660A2"/>
    <w:rsid w:val="00466468"/>
    <w:rsid w:val="004667A9"/>
    <w:rsid w:val="0046690F"/>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3C"/>
    <w:rsid w:val="00472449"/>
    <w:rsid w:val="00472601"/>
    <w:rsid w:val="004729A3"/>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19"/>
    <w:rsid w:val="00476B82"/>
    <w:rsid w:val="00476ECD"/>
    <w:rsid w:val="004771E3"/>
    <w:rsid w:val="004773C1"/>
    <w:rsid w:val="00477645"/>
    <w:rsid w:val="00477735"/>
    <w:rsid w:val="00477EE0"/>
    <w:rsid w:val="0048016F"/>
    <w:rsid w:val="004802DD"/>
    <w:rsid w:val="00480371"/>
    <w:rsid w:val="00480560"/>
    <w:rsid w:val="00480A2C"/>
    <w:rsid w:val="00480F52"/>
    <w:rsid w:val="0048128D"/>
    <w:rsid w:val="0048140B"/>
    <w:rsid w:val="00481AC0"/>
    <w:rsid w:val="00481B60"/>
    <w:rsid w:val="004821C6"/>
    <w:rsid w:val="00482303"/>
    <w:rsid w:val="00482957"/>
    <w:rsid w:val="00482A98"/>
    <w:rsid w:val="00482CD9"/>
    <w:rsid w:val="004837D0"/>
    <w:rsid w:val="00483889"/>
    <w:rsid w:val="00483D35"/>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946"/>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763"/>
    <w:rsid w:val="004A07E8"/>
    <w:rsid w:val="004A0CDF"/>
    <w:rsid w:val="004A1286"/>
    <w:rsid w:val="004A1659"/>
    <w:rsid w:val="004A16FF"/>
    <w:rsid w:val="004A1B6B"/>
    <w:rsid w:val="004A1D75"/>
    <w:rsid w:val="004A2082"/>
    <w:rsid w:val="004A253B"/>
    <w:rsid w:val="004A290C"/>
    <w:rsid w:val="004A294C"/>
    <w:rsid w:val="004A2B16"/>
    <w:rsid w:val="004A2D61"/>
    <w:rsid w:val="004A2DFE"/>
    <w:rsid w:val="004A382D"/>
    <w:rsid w:val="004A409B"/>
    <w:rsid w:val="004A436F"/>
    <w:rsid w:val="004A4693"/>
    <w:rsid w:val="004A4AF8"/>
    <w:rsid w:val="004A4BEE"/>
    <w:rsid w:val="004A4D62"/>
    <w:rsid w:val="004A4F1B"/>
    <w:rsid w:val="004A4F88"/>
    <w:rsid w:val="004A526D"/>
    <w:rsid w:val="004A58E1"/>
    <w:rsid w:val="004A5FBF"/>
    <w:rsid w:val="004A63E4"/>
    <w:rsid w:val="004A63EC"/>
    <w:rsid w:val="004A6661"/>
    <w:rsid w:val="004A6737"/>
    <w:rsid w:val="004A6947"/>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2091"/>
    <w:rsid w:val="004C20B1"/>
    <w:rsid w:val="004C21B5"/>
    <w:rsid w:val="004C24D1"/>
    <w:rsid w:val="004C31CA"/>
    <w:rsid w:val="004C334D"/>
    <w:rsid w:val="004C3627"/>
    <w:rsid w:val="004C3C3E"/>
    <w:rsid w:val="004C3CBF"/>
    <w:rsid w:val="004C40B6"/>
    <w:rsid w:val="004C4549"/>
    <w:rsid w:val="004C464C"/>
    <w:rsid w:val="004C4732"/>
    <w:rsid w:val="004C4EA6"/>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D26"/>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851"/>
    <w:rsid w:val="004E394E"/>
    <w:rsid w:val="004E45AC"/>
    <w:rsid w:val="004E49C6"/>
    <w:rsid w:val="004E4BDD"/>
    <w:rsid w:val="004E4C6E"/>
    <w:rsid w:val="004E4FDD"/>
    <w:rsid w:val="004E52AF"/>
    <w:rsid w:val="004E52D8"/>
    <w:rsid w:val="004E532C"/>
    <w:rsid w:val="004E54B9"/>
    <w:rsid w:val="004E6A7A"/>
    <w:rsid w:val="004E6BC1"/>
    <w:rsid w:val="004E6BF8"/>
    <w:rsid w:val="004E7483"/>
    <w:rsid w:val="004E7588"/>
    <w:rsid w:val="004E7D1F"/>
    <w:rsid w:val="004E7EE3"/>
    <w:rsid w:val="004F00AF"/>
    <w:rsid w:val="004F01DA"/>
    <w:rsid w:val="004F0384"/>
    <w:rsid w:val="004F06EA"/>
    <w:rsid w:val="004F0A5E"/>
    <w:rsid w:val="004F0B9E"/>
    <w:rsid w:val="004F0DAB"/>
    <w:rsid w:val="004F0F50"/>
    <w:rsid w:val="004F16B7"/>
    <w:rsid w:val="004F27CF"/>
    <w:rsid w:val="004F283B"/>
    <w:rsid w:val="004F2888"/>
    <w:rsid w:val="004F293E"/>
    <w:rsid w:val="004F2C4C"/>
    <w:rsid w:val="004F34E8"/>
    <w:rsid w:val="004F3C7C"/>
    <w:rsid w:val="004F401D"/>
    <w:rsid w:val="004F4582"/>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4F"/>
    <w:rsid w:val="004F7395"/>
    <w:rsid w:val="004F76E2"/>
    <w:rsid w:val="004F7802"/>
    <w:rsid w:val="005004B8"/>
    <w:rsid w:val="0050068C"/>
    <w:rsid w:val="005009BE"/>
    <w:rsid w:val="00500F70"/>
    <w:rsid w:val="005016A4"/>
    <w:rsid w:val="0050204D"/>
    <w:rsid w:val="0050233D"/>
    <w:rsid w:val="0050243B"/>
    <w:rsid w:val="00502663"/>
    <w:rsid w:val="00502829"/>
    <w:rsid w:val="00502CEF"/>
    <w:rsid w:val="0050339E"/>
    <w:rsid w:val="005034C5"/>
    <w:rsid w:val="005035A0"/>
    <w:rsid w:val="00503648"/>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DA"/>
    <w:rsid w:val="0051047F"/>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5EA1"/>
    <w:rsid w:val="00516093"/>
    <w:rsid w:val="0051659C"/>
    <w:rsid w:val="0051673C"/>
    <w:rsid w:val="005169BB"/>
    <w:rsid w:val="0051733D"/>
    <w:rsid w:val="0051787B"/>
    <w:rsid w:val="00517B87"/>
    <w:rsid w:val="00517F5C"/>
    <w:rsid w:val="0052014E"/>
    <w:rsid w:val="0052064C"/>
    <w:rsid w:val="0052072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8EB"/>
    <w:rsid w:val="00524CB1"/>
    <w:rsid w:val="0052539D"/>
    <w:rsid w:val="00525461"/>
    <w:rsid w:val="005255A8"/>
    <w:rsid w:val="00525849"/>
    <w:rsid w:val="005258B9"/>
    <w:rsid w:val="00526027"/>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D1"/>
    <w:rsid w:val="005333A4"/>
    <w:rsid w:val="00533EB1"/>
    <w:rsid w:val="0053420F"/>
    <w:rsid w:val="005342F6"/>
    <w:rsid w:val="005342FD"/>
    <w:rsid w:val="005344A6"/>
    <w:rsid w:val="00534502"/>
    <w:rsid w:val="005349D3"/>
    <w:rsid w:val="00534B5E"/>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026"/>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064"/>
    <w:rsid w:val="005507FE"/>
    <w:rsid w:val="005512F3"/>
    <w:rsid w:val="005514A8"/>
    <w:rsid w:val="005518F2"/>
    <w:rsid w:val="005519E2"/>
    <w:rsid w:val="005519F2"/>
    <w:rsid w:val="00551AF8"/>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94B"/>
    <w:rsid w:val="00555A3F"/>
    <w:rsid w:val="00555C3A"/>
    <w:rsid w:val="00555D21"/>
    <w:rsid w:val="00555FCC"/>
    <w:rsid w:val="00556191"/>
    <w:rsid w:val="005561D5"/>
    <w:rsid w:val="00556204"/>
    <w:rsid w:val="005563B1"/>
    <w:rsid w:val="00556836"/>
    <w:rsid w:val="0055683A"/>
    <w:rsid w:val="00556BFB"/>
    <w:rsid w:val="00556E30"/>
    <w:rsid w:val="005573D7"/>
    <w:rsid w:val="00557455"/>
    <w:rsid w:val="0055796A"/>
    <w:rsid w:val="00557CC4"/>
    <w:rsid w:val="0056005E"/>
    <w:rsid w:val="0056056C"/>
    <w:rsid w:val="0056070F"/>
    <w:rsid w:val="0056091E"/>
    <w:rsid w:val="00560B26"/>
    <w:rsid w:val="00560B9C"/>
    <w:rsid w:val="00560C9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E33"/>
    <w:rsid w:val="00567FC3"/>
    <w:rsid w:val="00570114"/>
    <w:rsid w:val="005701A2"/>
    <w:rsid w:val="005704DC"/>
    <w:rsid w:val="00570B18"/>
    <w:rsid w:val="00570D8C"/>
    <w:rsid w:val="00571177"/>
    <w:rsid w:val="00571552"/>
    <w:rsid w:val="00571827"/>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AF0"/>
    <w:rsid w:val="00583545"/>
    <w:rsid w:val="005835F9"/>
    <w:rsid w:val="005838D4"/>
    <w:rsid w:val="00583DFD"/>
    <w:rsid w:val="00583F89"/>
    <w:rsid w:val="0058403F"/>
    <w:rsid w:val="005840E3"/>
    <w:rsid w:val="00584211"/>
    <w:rsid w:val="0058451D"/>
    <w:rsid w:val="005845D3"/>
    <w:rsid w:val="00584BF1"/>
    <w:rsid w:val="00584FC3"/>
    <w:rsid w:val="00585307"/>
    <w:rsid w:val="005856B1"/>
    <w:rsid w:val="0058572B"/>
    <w:rsid w:val="005858B1"/>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12B"/>
    <w:rsid w:val="005979F9"/>
    <w:rsid w:val="00597BFF"/>
    <w:rsid w:val="00597D10"/>
    <w:rsid w:val="00597F46"/>
    <w:rsid w:val="005A0007"/>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91D"/>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7564"/>
    <w:rsid w:val="005B7CAD"/>
    <w:rsid w:val="005B7DA4"/>
    <w:rsid w:val="005B7E13"/>
    <w:rsid w:val="005C0293"/>
    <w:rsid w:val="005C11A9"/>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BBB"/>
    <w:rsid w:val="005C605F"/>
    <w:rsid w:val="005C6157"/>
    <w:rsid w:val="005C65F4"/>
    <w:rsid w:val="005C6614"/>
    <w:rsid w:val="005C6641"/>
    <w:rsid w:val="005C6AA0"/>
    <w:rsid w:val="005C6C76"/>
    <w:rsid w:val="005C6E06"/>
    <w:rsid w:val="005C7302"/>
    <w:rsid w:val="005C767C"/>
    <w:rsid w:val="005C7A22"/>
    <w:rsid w:val="005C7ACC"/>
    <w:rsid w:val="005D005E"/>
    <w:rsid w:val="005D0086"/>
    <w:rsid w:val="005D0B90"/>
    <w:rsid w:val="005D0D7D"/>
    <w:rsid w:val="005D187F"/>
    <w:rsid w:val="005D1990"/>
    <w:rsid w:val="005D21E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E0CBB"/>
    <w:rsid w:val="005E1060"/>
    <w:rsid w:val="005E106F"/>
    <w:rsid w:val="005E1BC5"/>
    <w:rsid w:val="005E1FF3"/>
    <w:rsid w:val="005E20F0"/>
    <w:rsid w:val="005E248C"/>
    <w:rsid w:val="005E2FB2"/>
    <w:rsid w:val="005E315F"/>
    <w:rsid w:val="005E3184"/>
    <w:rsid w:val="005E33CA"/>
    <w:rsid w:val="005E3787"/>
    <w:rsid w:val="005E37E6"/>
    <w:rsid w:val="005E3BC5"/>
    <w:rsid w:val="005E3CA5"/>
    <w:rsid w:val="005E3FAA"/>
    <w:rsid w:val="005E4359"/>
    <w:rsid w:val="005E4682"/>
    <w:rsid w:val="005E477E"/>
    <w:rsid w:val="005E48E3"/>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1441"/>
    <w:rsid w:val="005F28A5"/>
    <w:rsid w:val="005F2D77"/>
    <w:rsid w:val="005F3191"/>
    <w:rsid w:val="005F31F1"/>
    <w:rsid w:val="005F32AC"/>
    <w:rsid w:val="005F33A0"/>
    <w:rsid w:val="005F3434"/>
    <w:rsid w:val="005F3449"/>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434"/>
    <w:rsid w:val="00601689"/>
    <w:rsid w:val="006018DC"/>
    <w:rsid w:val="00601AD4"/>
    <w:rsid w:val="00601AD7"/>
    <w:rsid w:val="006021D2"/>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88E"/>
    <w:rsid w:val="00640D50"/>
    <w:rsid w:val="00640E5B"/>
    <w:rsid w:val="00641273"/>
    <w:rsid w:val="00641598"/>
    <w:rsid w:val="00641D45"/>
    <w:rsid w:val="006422C8"/>
    <w:rsid w:val="006422DD"/>
    <w:rsid w:val="00642AA3"/>
    <w:rsid w:val="00642E2E"/>
    <w:rsid w:val="00642F0B"/>
    <w:rsid w:val="006433AF"/>
    <w:rsid w:val="0064346D"/>
    <w:rsid w:val="006436FC"/>
    <w:rsid w:val="00643A89"/>
    <w:rsid w:val="00643C76"/>
    <w:rsid w:val="00643E46"/>
    <w:rsid w:val="00644219"/>
    <w:rsid w:val="00644285"/>
    <w:rsid w:val="006443BD"/>
    <w:rsid w:val="00644A9C"/>
    <w:rsid w:val="00644EC7"/>
    <w:rsid w:val="00645458"/>
    <w:rsid w:val="00645634"/>
    <w:rsid w:val="0064563D"/>
    <w:rsid w:val="006457F2"/>
    <w:rsid w:val="00646008"/>
    <w:rsid w:val="0064617E"/>
    <w:rsid w:val="00646422"/>
    <w:rsid w:val="00646AC1"/>
    <w:rsid w:val="00646B92"/>
    <w:rsid w:val="006474FD"/>
    <w:rsid w:val="00647874"/>
    <w:rsid w:val="00647898"/>
    <w:rsid w:val="00647C96"/>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5B4"/>
    <w:rsid w:val="00653BE4"/>
    <w:rsid w:val="00653D43"/>
    <w:rsid w:val="0065421B"/>
    <w:rsid w:val="00654254"/>
    <w:rsid w:val="006542E6"/>
    <w:rsid w:val="006544E2"/>
    <w:rsid w:val="00654938"/>
    <w:rsid w:val="00654C7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CD9"/>
    <w:rsid w:val="006863B7"/>
    <w:rsid w:val="006865C4"/>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A1"/>
    <w:rsid w:val="006928DC"/>
    <w:rsid w:val="00693237"/>
    <w:rsid w:val="00693462"/>
    <w:rsid w:val="006938A2"/>
    <w:rsid w:val="006938DE"/>
    <w:rsid w:val="006938E5"/>
    <w:rsid w:val="00694309"/>
    <w:rsid w:val="0069439D"/>
    <w:rsid w:val="006947F0"/>
    <w:rsid w:val="0069497D"/>
    <w:rsid w:val="00694AAD"/>
    <w:rsid w:val="00694B48"/>
    <w:rsid w:val="00694DC0"/>
    <w:rsid w:val="00694DF9"/>
    <w:rsid w:val="00694E0B"/>
    <w:rsid w:val="006950C2"/>
    <w:rsid w:val="00695528"/>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F95"/>
    <w:rsid w:val="006A6204"/>
    <w:rsid w:val="006A624F"/>
    <w:rsid w:val="006A637F"/>
    <w:rsid w:val="006A638E"/>
    <w:rsid w:val="006A6458"/>
    <w:rsid w:val="006A68A0"/>
    <w:rsid w:val="006A69E1"/>
    <w:rsid w:val="006A72C6"/>
    <w:rsid w:val="006A75E3"/>
    <w:rsid w:val="006A791C"/>
    <w:rsid w:val="006A79D6"/>
    <w:rsid w:val="006A7B3B"/>
    <w:rsid w:val="006A7C6F"/>
    <w:rsid w:val="006B0096"/>
    <w:rsid w:val="006B037B"/>
    <w:rsid w:val="006B03E3"/>
    <w:rsid w:val="006B10B7"/>
    <w:rsid w:val="006B136E"/>
    <w:rsid w:val="006B1490"/>
    <w:rsid w:val="006B185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738B"/>
    <w:rsid w:val="006B76DE"/>
    <w:rsid w:val="006B790F"/>
    <w:rsid w:val="006B7F49"/>
    <w:rsid w:val="006C00CB"/>
    <w:rsid w:val="006C0693"/>
    <w:rsid w:val="006C0940"/>
    <w:rsid w:val="006C0E8E"/>
    <w:rsid w:val="006C1A25"/>
    <w:rsid w:val="006C1C6C"/>
    <w:rsid w:val="006C24A6"/>
    <w:rsid w:val="006C27CF"/>
    <w:rsid w:val="006C2A35"/>
    <w:rsid w:val="006C2D8B"/>
    <w:rsid w:val="006C331B"/>
    <w:rsid w:val="006C370F"/>
    <w:rsid w:val="006C393E"/>
    <w:rsid w:val="006C3D18"/>
    <w:rsid w:val="006C3E30"/>
    <w:rsid w:val="006C3ED8"/>
    <w:rsid w:val="006C3F47"/>
    <w:rsid w:val="006C41BB"/>
    <w:rsid w:val="006C4F9B"/>
    <w:rsid w:val="006C5503"/>
    <w:rsid w:val="006C559B"/>
    <w:rsid w:val="006C5B73"/>
    <w:rsid w:val="006C5E51"/>
    <w:rsid w:val="006C61AE"/>
    <w:rsid w:val="006C6687"/>
    <w:rsid w:val="006C6B99"/>
    <w:rsid w:val="006C6DE4"/>
    <w:rsid w:val="006C70DC"/>
    <w:rsid w:val="006C7332"/>
    <w:rsid w:val="006C73A9"/>
    <w:rsid w:val="006C7BA2"/>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503F"/>
    <w:rsid w:val="006D527E"/>
    <w:rsid w:val="006D52AB"/>
    <w:rsid w:val="006D52E7"/>
    <w:rsid w:val="006D53F2"/>
    <w:rsid w:val="006D5505"/>
    <w:rsid w:val="006D55EA"/>
    <w:rsid w:val="006D6374"/>
    <w:rsid w:val="006D670B"/>
    <w:rsid w:val="006D6CB3"/>
    <w:rsid w:val="006D706C"/>
    <w:rsid w:val="006D73D0"/>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A28"/>
    <w:rsid w:val="006E7C97"/>
    <w:rsid w:val="006E7D95"/>
    <w:rsid w:val="006E7DB1"/>
    <w:rsid w:val="006E7FD2"/>
    <w:rsid w:val="006F0269"/>
    <w:rsid w:val="006F0446"/>
    <w:rsid w:val="006F0835"/>
    <w:rsid w:val="006F0AEA"/>
    <w:rsid w:val="006F1322"/>
    <w:rsid w:val="006F15D0"/>
    <w:rsid w:val="006F1607"/>
    <w:rsid w:val="006F175A"/>
    <w:rsid w:val="006F1784"/>
    <w:rsid w:val="006F192A"/>
    <w:rsid w:val="006F1C81"/>
    <w:rsid w:val="006F206C"/>
    <w:rsid w:val="006F22ED"/>
    <w:rsid w:val="006F2443"/>
    <w:rsid w:val="006F2538"/>
    <w:rsid w:val="006F25B2"/>
    <w:rsid w:val="006F2607"/>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D72"/>
    <w:rsid w:val="006F6FCA"/>
    <w:rsid w:val="006F74E6"/>
    <w:rsid w:val="006F7583"/>
    <w:rsid w:val="006F7876"/>
    <w:rsid w:val="006F7B47"/>
    <w:rsid w:val="006F7B78"/>
    <w:rsid w:val="006F7E3B"/>
    <w:rsid w:val="0070001C"/>
    <w:rsid w:val="007000C0"/>
    <w:rsid w:val="00700D21"/>
    <w:rsid w:val="00700E6B"/>
    <w:rsid w:val="00700E75"/>
    <w:rsid w:val="0070176A"/>
    <w:rsid w:val="00701A12"/>
    <w:rsid w:val="00701B81"/>
    <w:rsid w:val="00701C37"/>
    <w:rsid w:val="00701DA4"/>
    <w:rsid w:val="00702434"/>
    <w:rsid w:val="00702BD1"/>
    <w:rsid w:val="00702FC9"/>
    <w:rsid w:val="007034FA"/>
    <w:rsid w:val="00703629"/>
    <w:rsid w:val="00703659"/>
    <w:rsid w:val="00703843"/>
    <w:rsid w:val="00703891"/>
    <w:rsid w:val="00703A2A"/>
    <w:rsid w:val="00703BFB"/>
    <w:rsid w:val="00703C59"/>
    <w:rsid w:val="00703D81"/>
    <w:rsid w:val="00703EBA"/>
    <w:rsid w:val="0070478D"/>
    <w:rsid w:val="00705060"/>
    <w:rsid w:val="007055E4"/>
    <w:rsid w:val="00705720"/>
    <w:rsid w:val="00705DD3"/>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11DC"/>
    <w:rsid w:val="007118BB"/>
    <w:rsid w:val="00711A8B"/>
    <w:rsid w:val="0071210B"/>
    <w:rsid w:val="0071214E"/>
    <w:rsid w:val="00712173"/>
    <w:rsid w:val="007125D0"/>
    <w:rsid w:val="007127D1"/>
    <w:rsid w:val="00712938"/>
    <w:rsid w:val="00712C5A"/>
    <w:rsid w:val="00713132"/>
    <w:rsid w:val="00713488"/>
    <w:rsid w:val="00713B26"/>
    <w:rsid w:val="007147CF"/>
    <w:rsid w:val="00714A50"/>
    <w:rsid w:val="00714B47"/>
    <w:rsid w:val="00714B85"/>
    <w:rsid w:val="00714F44"/>
    <w:rsid w:val="0071515E"/>
    <w:rsid w:val="00715297"/>
    <w:rsid w:val="0071554E"/>
    <w:rsid w:val="00715C99"/>
    <w:rsid w:val="00715CD6"/>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575"/>
    <w:rsid w:val="00720731"/>
    <w:rsid w:val="007208A1"/>
    <w:rsid w:val="007208AB"/>
    <w:rsid w:val="007210D3"/>
    <w:rsid w:val="007216D1"/>
    <w:rsid w:val="0072182E"/>
    <w:rsid w:val="007221ED"/>
    <w:rsid w:val="007225C3"/>
    <w:rsid w:val="00722700"/>
    <w:rsid w:val="0072293A"/>
    <w:rsid w:val="00722E44"/>
    <w:rsid w:val="00722FB2"/>
    <w:rsid w:val="007233F5"/>
    <w:rsid w:val="0072362F"/>
    <w:rsid w:val="0072394C"/>
    <w:rsid w:val="00723A92"/>
    <w:rsid w:val="00723CFD"/>
    <w:rsid w:val="00723E22"/>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0EE"/>
    <w:rsid w:val="0072729F"/>
    <w:rsid w:val="0072759A"/>
    <w:rsid w:val="007275C6"/>
    <w:rsid w:val="0072777C"/>
    <w:rsid w:val="0072794C"/>
    <w:rsid w:val="00727959"/>
    <w:rsid w:val="00727BCF"/>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218"/>
    <w:rsid w:val="00733387"/>
    <w:rsid w:val="0073339C"/>
    <w:rsid w:val="0073360A"/>
    <w:rsid w:val="0073377F"/>
    <w:rsid w:val="00733CEA"/>
    <w:rsid w:val="007341E4"/>
    <w:rsid w:val="00734209"/>
    <w:rsid w:val="007342C7"/>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B1C"/>
    <w:rsid w:val="0074044B"/>
    <w:rsid w:val="007404A8"/>
    <w:rsid w:val="007408D8"/>
    <w:rsid w:val="00740AD4"/>
    <w:rsid w:val="00740B58"/>
    <w:rsid w:val="00740BC0"/>
    <w:rsid w:val="00740CAA"/>
    <w:rsid w:val="00740DFA"/>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FF7"/>
    <w:rsid w:val="007505A8"/>
    <w:rsid w:val="007505F6"/>
    <w:rsid w:val="007510F0"/>
    <w:rsid w:val="0075148E"/>
    <w:rsid w:val="007518F2"/>
    <w:rsid w:val="007521C3"/>
    <w:rsid w:val="007522A6"/>
    <w:rsid w:val="00752490"/>
    <w:rsid w:val="00752901"/>
    <w:rsid w:val="0075299D"/>
    <w:rsid w:val="00752C9D"/>
    <w:rsid w:val="0075364C"/>
    <w:rsid w:val="007537E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30F"/>
    <w:rsid w:val="00757321"/>
    <w:rsid w:val="00757602"/>
    <w:rsid w:val="007576C4"/>
    <w:rsid w:val="00757962"/>
    <w:rsid w:val="00757A4E"/>
    <w:rsid w:val="00757B66"/>
    <w:rsid w:val="00757FE9"/>
    <w:rsid w:val="00757FF8"/>
    <w:rsid w:val="00760CD4"/>
    <w:rsid w:val="00760FB1"/>
    <w:rsid w:val="00761AD5"/>
    <w:rsid w:val="00761DE6"/>
    <w:rsid w:val="00761F62"/>
    <w:rsid w:val="007629F7"/>
    <w:rsid w:val="00762BB8"/>
    <w:rsid w:val="00762EA8"/>
    <w:rsid w:val="007632A4"/>
    <w:rsid w:val="00763384"/>
    <w:rsid w:val="00763666"/>
    <w:rsid w:val="007637B2"/>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157"/>
    <w:rsid w:val="007762A1"/>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30EA"/>
    <w:rsid w:val="007833A2"/>
    <w:rsid w:val="00783451"/>
    <w:rsid w:val="0078366D"/>
    <w:rsid w:val="00783782"/>
    <w:rsid w:val="00783A4B"/>
    <w:rsid w:val="00783C86"/>
    <w:rsid w:val="00783F77"/>
    <w:rsid w:val="00784138"/>
    <w:rsid w:val="0078452C"/>
    <w:rsid w:val="00785293"/>
    <w:rsid w:val="00785482"/>
    <w:rsid w:val="00785F2B"/>
    <w:rsid w:val="00786158"/>
    <w:rsid w:val="00786159"/>
    <w:rsid w:val="00786289"/>
    <w:rsid w:val="00786414"/>
    <w:rsid w:val="00786436"/>
    <w:rsid w:val="007866CD"/>
    <w:rsid w:val="00786780"/>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6AF"/>
    <w:rsid w:val="007B0807"/>
    <w:rsid w:val="007B0CF3"/>
    <w:rsid w:val="007B0D4E"/>
    <w:rsid w:val="007B0F14"/>
    <w:rsid w:val="007B1146"/>
    <w:rsid w:val="007B1537"/>
    <w:rsid w:val="007B1549"/>
    <w:rsid w:val="007B15DE"/>
    <w:rsid w:val="007B1873"/>
    <w:rsid w:val="007B1EC7"/>
    <w:rsid w:val="007B24C2"/>
    <w:rsid w:val="007B28BF"/>
    <w:rsid w:val="007B2AC5"/>
    <w:rsid w:val="007B2E32"/>
    <w:rsid w:val="007B2F65"/>
    <w:rsid w:val="007B2FCD"/>
    <w:rsid w:val="007B31A3"/>
    <w:rsid w:val="007B4168"/>
    <w:rsid w:val="007B4402"/>
    <w:rsid w:val="007B4529"/>
    <w:rsid w:val="007B4632"/>
    <w:rsid w:val="007B4779"/>
    <w:rsid w:val="007B5075"/>
    <w:rsid w:val="007B528D"/>
    <w:rsid w:val="007B546F"/>
    <w:rsid w:val="007B5810"/>
    <w:rsid w:val="007B5CB3"/>
    <w:rsid w:val="007B6682"/>
    <w:rsid w:val="007B6846"/>
    <w:rsid w:val="007B68FD"/>
    <w:rsid w:val="007B6946"/>
    <w:rsid w:val="007B6BA6"/>
    <w:rsid w:val="007B6F00"/>
    <w:rsid w:val="007B6FA2"/>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2F3C"/>
    <w:rsid w:val="007C377C"/>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599"/>
    <w:rsid w:val="007D6695"/>
    <w:rsid w:val="007D675C"/>
    <w:rsid w:val="007D69B4"/>
    <w:rsid w:val="007D6B45"/>
    <w:rsid w:val="007D6C31"/>
    <w:rsid w:val="007D7239"/>
    <w:rsid w:val="007D7B7C"/>
    <w:rsid w:val="007D7F3C"/>
    <w:rsid w:val="007E0893"/>
    <w:rsid w:val="007E09F8"/>
    <w:rsid w:val="007E1061"/>
    <w:rsid w:val="007E1558"/>
    <w:rsid w:val="007E16E4"/>
    <w:rsid w:val="007E185F"/>
    <w:rsid w:val="007E19CA"/>
    <w:rsid w:val="007E1BDD"/>
    <w:rsid w:val="007E1C32"/>
    <w:rsid w:val="007E1F08"/>
    <w:rsid w:val="007E2210"/>
    <w:rsid w:val="007E26D6"/>
    <w:rsid w:val="007E2772"/>
    <w:rsid w:val="007E2EE6"/>
    <w:rsid w:val="007E2F85"/>
    <w:rsid w:val="007E34AB"/>
    <w:rsid w:val="007E36AD"/>
    <w:rsid w:val="007E383B"/>
    <w:rsid w:val="007E3B46"/>
    <w:rsid w:val="007E3E3E"/>
    <w:rsid w:val="007E4292"/>
    <w:rsid w:val="007E449E"/>
    <w:rsid w:val="007E4AC7"/>
    <w:rsid w:val="007E4CF4"/>
    <w:rsid w:val="007E5069"/>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7C1"/>
    <w:rsid w:val="0081086F"/>
    <w:rsid w:val="00810AE4"/>
    <w:rsid w:val="00810D24"/>
    <w:rsid w:val="00810EC2"/>
    <w:rsid w:val="008111AE"/>
    <w:rsid w:val="00811229"/>
    <w:rsid w:val="008112C2"/>
    <w:rsid w:val="00811368"/>
    <w:rsid w:val="008118C3"/>
    <w:rsid w:val="008119CD"/>
    <w:rsid w:val="00811CD4"/>
    <w:rsid w:val="00812168"/>
    <w:rsid w:val="008121EF"/>
    <w:rsid w:val="008125CF"/>
    <w:rsid w:val="00812F96"/>
    <w:rsid w:val="0081319A"/>
    <w:rsid w:val="0081320C"/>
    <w:rsid w:val="00813399"/>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B22"/>
    <w:rsid w:val="00823C64"/>
    <w:rsid w:val="00823D5A"/>
    <w:rsid w:val="0082427C"/>
    <w:rsid w:val="0082442D"/>
    <w:rsid w:val="0082465A"/>
    <w:rsid w:val="00824821"/>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3CA"/>
    <w:rsid w:val="00830461"/>
    <w:rsid w:val="00830606"/>
    <w:rsid w:val="008306C4"/>
    <w:rsid w:val="00830746"/>
    <w:rsid w:val="0083092C"/>
    <w:rsid w:val="00830958"/>
    <w:rsid w:val="00830DC9"/>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01"/>
    <w:rsid w:val="00836096"/>
    <w:rsid w:val="008364F3"/>
    <w:rsid w:val="00836A5A"/>
    <w:rsid w:val="0083703B"/>
    <w:rsid w:val="00837142"/>
    <w:rsid w:val="00837957"/>
    <w:rsid w:val="008379DB"/>
    <w:rsid w:val="00837AE5"/>
    <w:rsid w:val="00840CF5"/>
    <w:rsid w:val="00840D35"/>
    <w:rsid w:val="00840D36"/>
    <w:rsid w:val="0084111D"/>
    <w:rsid w:val="008414FC"/>
    <w:rsid w:val="008417A9"/>
    <w:rsid w:val="0084186A"/>
    <w:rsid w:val="00841DD6"/>
    <w:rsid w:val="00842340"/>
    <w:rsid w:val="00842B8E"/>
    <w:rsid w:val="00843043"/>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EFA"/>
    <w:rsid w:val="008640E5"/>
    <w:rsid w:val="0086411C"/>
    <w:rsid w:val="00864260"/>
    <w:rsid w:val="008642D6"/>
    <w:rsid w:val="008645BA"/>
    <w:rsid w:val="00864B69"/>
    <w:rsid w:val="00864B72"/>
    <w:rsid w:val="00864CF3"/>
    <w:rsid w:val="00864FDE"/>
    <w:rsid w:val="00865088"/>
    <w:rsid w:val="0086515E"/>
    <w:rsid w:val="008653D0"/>
    <w:rsid w:val="008658D9"/>
    <w:rsid w:val="00866363"/>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88"/>
    <w:rsid w:val="00871FEA"/>
    <w:rsid w:val="008724C4"/>
    <w:rsid w:val="0087285C"/>
    <w:rsid w:val="0087298D"/>
    <w:rsid w:val="00872A32"/>
    <w:rsid w:val="008730D2"/>
    <w:rsid w:val="0087322A"/>
    <w:rsid w:val="0087393F"/>
    <w:rsid w:val="00873BE9"/>
    <w:rsid w:val="00873D5A"/>
    <w:rsid w:val="00874013"/>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CC1"/>
    <w:rsid w:val="00884E66"/>
    <w:rsid w:val="00885290"/>
    <w:rsid w:val="008854F4"/>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8DA"/>
    <w:rsid w:val="00890BC7"/>
    <w:rsid w:val="00890E84"/>
    <w:rsid w:val="008912C0"/>
    <w:rsid w:val="008917BD"/>
    <w:rsid w:val="00891A49"/>
    <w:rsid w:val="00892214"/>
    <w:rsid w:val="00892786"/>
    <w:rsid w:val="00892792"/>
    <w:rsid w:val="008927C1"/>
    <w:rsid w:val="0089289F"/>
    <w:rsid w:val="00892E15"/>
    <w:rsid w:val="008932E8"/>
    <w:rsid w:val="00893492"/>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473"/>
    <w:rsid w:val="008A14E1"/>
    <w:rsid w:val="008A1D82"/>
    <w:rsid w:val="008A1FE1"/>
    <w:rsid w:val="008A2316"/>
    <w:rsid w:val="008A2680"/>
    <w:rsid w:val="008A2792"/>
    <w:rsid w:val="008A27B1"/>
    <w:rsid w:val="008A295F"/>
    <w:rsid w:val="008A29D4"/>
    <w:rsid w:val="008A2E27"/>
    <w:rsid w:val="008A311B"/>
    <w:rsid w:val="008A3AFD"/>
    <w:rsid w:val="008A3B38"/>
    <w:rsid w:val="008A3B92"/>
    <w:rsid w:val="008A3E29"/>
    <w:rsid w:val="008A3EAE"/>
    <w:rsid w:val="008A3F24"/>
    <w:rsid w:val="008A40CA"/>
    <w:rsid w:val="008A466C"/>
    <w:rsid w:val="008A46F4"/>
    <w:rsid w:val="008A4CD3"/>
    <w:rsid w:val="008A4DCA"/>
    <w:rsid w:val="008A5008"/>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515"/>
    <w:rsid w:val="008B3CA3"/>
    <w:rsid w:val="008B3F80"/>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E6D"/>
    <w:rsid w:val="008D1A2D"/>
    <w:rsid w:val="008D1A36"/>
    <w:rsid w:val="008D1A72"/>
    <w:rsid w:val="008D1D6A"/>
    <w:rsid w:val="008D1F89"/>
    <w:rsid w:val="008D216A"/>
    <w:rsid w:val="008D2354"/>
    <w:rsid w:val="008D28BD"/>
    <w:rsid w:val="008D2DF2"/>
    <w:rsid w:val="008D2EE6"/>
    <w:rsid w:val="008D2EFF"/>
    <w:rsid w:val="008D2F52"/>
    <w:rsid w:val="008D30BE"/>
    <w:rsid w:val="008D3914"/>
    <w:rsid w:val="008D3D9C"/>
    <w:rsid w:val="008D45DD"/>
    <w:rsid w:val="008D4C9F"/>
    <w:rsid w:val="008D5323"/>
    <w:rsid w:val="008D55AC"/>
    <w:rsid w:val="008D5810"/>
    <w:rsid w:val="008D5BA8"/>
    <w:rsid w:val="008D5D0C"/>
    <w:rsid w:val="008D613E"/>
    <w:rsid w:val="008D6168"/>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CFE"/>
    <w:rsid w:val="008E6D57"/>
    <w:rsid w:val="008E7161"/>
    <w:rsid w:val="008E7233"/>
    <w:rsid w:val="008E72D9"/>
    <w:rsid w:val="008E7334"/>
    <w:rsid w:val="008E7410"/>
    <w:rsid w:val="008E7713"/>
    <w:rsid w:val="008E7902"/>
    <w:rsid w:val="008E7A63"/>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07898"/>
    <w:rsid w:val="0091062B"/>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497C"/>
    <w:rsid w:val="00924B2C"/>
    <w:rsid w:val="00925031"/>
    <w:rsid w:val="00925219"/>
    <w:rsid w:val="009256EF"/>
    <w:rsid w:val="00925A52"/>
    <w:rsid w:val="00925B51"/>
    <w:rsid w:val="0092603E"/>
    <w:rsid w:val="00926115"/>
    <w:rsid w:val="0092633F"/>
    <w:rsid w:val="009266EE"/>
    <w:rsid w:val="009267EE"/>
    <w:rsid w:val="0092681A"/>
    <w:rsid w:val="00926A4E"/>
    <w:rsid w:val="00926F52"/>
    <w:rsid w:val="00927179"/>
    <w:rsid w:val="00927193"/>
    <w:rsid w:val="009275E6"/>
    <w:rsid w:val="009275EA"/>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DDE"/>
    <w:rsid w:val="00933051"/>
    <w:rsid w:val="0093326B"/>
    <w:rsid w:val="0093360C"/>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934"/>
    <w:rsid w:val="00953CCE"/>
    <w:rsid w:val="0095452B"/>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763"/>
    <w:rsid w:val="00971858"/>
    <w:rsid w:val="00971897"/>
    <w:rsid w:val="00971A84"/>
    <w:rsid w:val="00971AFE"/>
    <w:rsid w:val="00972143"/>
    <w:rsid w:val="009729D1"/>
    <w:rsid w:val="00972C07"/>
    <w:rsid w:val="009732EA"/>
    <w:rsid w:val="00973308"/>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958"/>
    <w:rsid w:val="00983BFE"/>
    <w:rsid w:val="00983F4A"/>
    <w:rsid w:val="009840D0"/>
    <w:rsid w:val="009843EC"/>
    <w:rsid w:val="00984667"/>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789"/>
    <w:rsid w:val="009958E9"/>
    <w:rsid w:val="00995A85"/>
    <w:rsid w:val="00995AB8"/>
    <w:rsid w:val="009963F2"/>
    <w:rsid w:val="00996573"/>
    <w:rsid w:val="009968E2"/>
    <w:rsid w:val="009970E7"/>
    <w:rsid w:val="0099739D"/>
    <w:rsid w:val="00997857"/>
    <w:rsid w:val="00997A61"/>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605C"/>
    <w:rsid w:val="009A608A"/>
    <w:rsid w:val="009A633E"/>
    <w:rsid w:val="009A63B4"/>
    <w:rsid w:val="009A6462"/>
    <w:rsid w:val="009A6686"/>
    <w:rsid w:val="009A6796"/>
    <w:rsid w:val="009A6DEE"/>
    <w:rsid w:val="009A6EC1"/>
    <w:rsid w:val="009A733E"/>
    <w:rsid w:val="009A7DA2"/>
    <w:rsid w:val="009A7E75"/>
    <w:rsid w:val="009B00A3"/>
    <w:rsid w:val="009B01D0"/>
    <w:rsid w:val="009B025E"/>
    <w:rsid w:val="009B0571"/>
    <w:rsid w:val="009B05E1"/>
    <w:rsid w:val="009B0952"/>
    <w:rsid w:val="009B0ABC"/>
    <w:rsid w:val="009B0BF2"/>
    <w:rsid w:val="009B127C"/>
    <w:rsid w:val="009B1314"/>
    <w:rsid w:val="009B161E"/>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558"/>
    <w:rsid w:val="009C160C"/>
    <w:rsid w:val="009C170F"/>
    <w:rsid w:val="009C18C5"/>
    <w:rsid w:val="009C1937"/>
    <w:rsid w:val="009C19BF"/>
    <w:rsid w:val="009C1ACE"/>
    <w:rsid w:val="009C1D9F"/>
    <w:rsid w:val="009C1DE8"/>
    <w:rsid w:val="009C20C0"/>
    <w:rsid w:val="009C20C6"/>
    <w:rsid w:val="009C21CC"/>
    <w:rsid w:val="009C22B4"/>
    <w:rsid w:val="009C24FA"/>
    <w:rsid w:val="009C257C"/>
    <w:rsid w:val="009C2665"/>
    <w:rsid w:val="009C2C82"/>
    <w:rsid w:val="009C32C6"/>
    <w:rsid w:val="009C38F4"/>
    <w:rsid w:val="009C3C5B"/>
    <w:rsid w:val="009C3DF3"/>
    <w:rsid w:val="009C4047"/>
    <w:rsid w:val="009C44C7"/>
    <w:rsid w:val="009C4901"/>
    <w:rsid w:val="009C4A9F"/>
    <w:rsid w:val="009C4C25"/>
    <w:rsid w:val="009C4E33"/>
    <w:rsid w:val="009C521B"/>
    <w:rsid w:val="009C5872"/>
    <w:rsid w:val="009C5F31"/>
    <w:rsid w:val="009C6040"/>
    <w:rsid w:val="009C646D"/>
    <w:rsid w:val="009C66C8"/>
    <w:rsid w:val="009C672B"/>
    <w:rsid w:val="009C675D"/>
    <w:rsid w:val="009C7737"/>
    <w:rsid w:val="009C7893"/>
    <w:rsid w:val="009C7E11"/>
    <w:rsid w:val="009D0108"/>
    <w:rsid w:val="009D02B8"/>
    <w:rsid w:val="009D04B5"/>
    <w:rsid w:val="009D0954"/>
    <w:rsid w:val="009D0A9D"/>
    <w:rsid w:val="009D0B41"/>
    <w:rsid w:val="009D0E15"/>
    <w:rsid w:val="009D0F82"/>
    <w:rsid w:val="009D1933"/>
    <w:rsid w:val="009D1D53"/>
    <w:rsid w:val="009D2325"/>
    <w:rsid w:val="009D253D"/>
    <w:rsid w:val="009D2B64"/>
    <w:rsid w:val="009D2D40"/>
    <w:rsid w:val="009D2DC5"/>
    <w:rsid w:val="009D3040"/>
    <w:rsid w:val="009D3A0B"/>
    <w:rsid w:val="009D3A0F"/>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EC9"/>
    <w:rsid w:val="009F3F08"/>
    <w:rsid w:val="009F3FFD"/>
    <w:rsid w:val="009F48C7"/>
    <w:rsid w:val="009F4CB1"/>
    <w:rsid w:val="009F4CE1"/>
    <w:rsid w:val="009F50BB"/>
    <w:rsid w:val="009F523C"/>
    <w:rsid w:val="009F530B"/>
    <w:rsid w:val="009F57A3"/>
    <w:rsid w:val="009F59B8"/>
    <w:rsid w:val="009F5A6F"/>
    <w:rsid w:val="009F5AF7"/>
    <w:rsid w:val="009F5EB5"/>
    <w:rsid w:val="009F6359"/>
    <w:rsid w:val="009F6AC9"/>
    <w:rsid w:val="009F6C52"/>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562"/>
    <w:rsid w:val="00A06651"/>
    <w:rsid w:val="00A06841"/>
    <w:rsid w:val="00A06880"/>
    <w:rsid w:val="00A0723E"/>
    <w:rsid w:val="00A077B1"/>
    <w:rsid w:val="00A07BDF"/>
    <w:rsid w:val="00A07CBE"/>
    <w:rsid w:val="00A104B6"/>
    <w:rsid w:val="00A1076C"/>
    <w:rsid w:val="00A108EA"/>
    <w:rsid w:val="00A10AA3"/>
    <w:rsid w:val="00A10C37"/>
    <w:rsid w:val="00A10C4C"/>
    <w:rsid w:val="00A11282"/>
    <w:rsid w:val="00A11310"/>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323"/>
    <w:rsid w:val="00A2271E"/>
    <w:rsid w:val="00A22D5C"/>
    <w:rsid w:val="00A23000"/>
    <w:rsid w:val="00A234B8"/>
    <w:rsid w:val="00A23645"/>
    <w:rsid w:val="00A23CDC"/>
    <w:rsid w:val="00A2434D"/>
    <w:rsid w:val="00A24C24"/>
    <w:rsid w:val="00A24E18"/>
    <w:rsid w:val="00A252C9"/>
    <w:rsid w:val="00A2534A"/>
    <w:rsid w:val="00A2568D"/>
    <w:rsid w:val="00A25A6F"/>
    <w:rsid w:val="00A25E5E"/>
    <w:rsid w:val="00A25F24"/>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C2C"/>
    <w:rsid w:val="00A3517F"/>
    <w:rsid w:val="00A35858"/>
    <w:rsid w:val="00A35B51"/>
    <w:rsid w:val="00A35DF9"/>
    <w:rsid w:val="00A36028"/>
    <w:rsid w:val="00A3614E"/>
    <w:rsid w:val="00A36275"/>
    <w:rsid w:val="00A36431"/>
    <w:rsid w:val="00A36983"/>
    <w:rsid w:val="00A36ACD"/>
    <w:rsid w:val="00A3708A"/>
    <w:rsid w:val="00A37297"/>
    <w:rsid w:val="00A374FA"/>
    <w:rsid w:val="00A3750E"/>
    <w:rsid w:val="00A37A57"/>
    <w:rsid w:val="00A37B05"/>
    <w:rsid w:val="00A37CD9"/>
    <w:rsid w:val="00A37F03"/>
    <w:rsid w:val="00A40077"/>
    <w:rsid w:val="00A408DB"/>
    <w:rsid w:val="00A40B75"/>
    <w:rsid w:val="00A40CA2"/>
    <w:rsid w:val="00A40CAB"/>
    <w:rsid w:val="00A40CFF"/>
    <w:rsid w:val="00A4107E"/>
    <w:rsid w:val="00A4111F"/>
    <w:rsid w:val="00A415E5"/>
    <w:rsid w:val="00A4179C"/>
    <w:rsid w:val="00A41899"/>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91B"/>
    <w:rsid w:val="00A46A3D"/>
    <w:rsid w:val="00A46AE5"/>
    <w:rsid w:val="00A46CBB"/>
    <w:rsid w:val="00A47639"/>
    <w:rsid w:val="00A477DD"/>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90A"/>
    <w:rsid w:val="00A52A8E"/>
    <w:rsid w:val="00A52D21"/>
    <w:rsid w:val="00A52DB5"/>
    <w:rsid w:val="00A5307C"/>
    <w:rsid w:val="00A531AF"/>
    <w:rsid w:val="00A53295"/>
    <w:rsid w:val="00A5342B"/>
    <w:rsid w:val="00A53BAA"/>
    <w:rsid w:val="00A53D81"/>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42C8"/>
    <w:rsid w:val="00A850FD"/>
    <w:rsid w:val="00A851A5"/>
    <w:rsid w:val="00A856FA"/>
    <w:rsid w:val="00A859A7"/>
    <w:rsid w:val="00A85F53"/>
    <w:rsid w:val="00A865A4"/>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8C6"/>
    <w:rsid w:val="00AA69C3"/>
    <w:rsid w:val="00AA6B6D"/>
    <w:rsid w:val="00AA6F6B"/>
    <w:rsid w:val="00AA7189"/>
    <w:rsid w:val="00AA7214"/>
    <w:rsid w:val="00AA78D9"/>
    <w:rsid w:val="00AA7C36"/>
    <w:rsid w:val="00AA7CF1"/>
    <w:rsid w:val="00AA7F2A"/>
    <w:rsid w:val="00AB0BA1"/>
    <w:rsid w:val="00AB0FC3"/>
    <w:rsid w:val="00AB1219"/>
    <w:rsid w:val="00AB1C3E"/>
    <w:rsid w:val="00AB202E"/>
    <w:rsid w:val="00AB2340"/>
    <w:rsid w:val="00AB253A"/>
    <w:rsid w:val="00AB2B89"/>
    <w:rsid w:val="00AB2E3F"/>
    <w:rsid w:val="00AB30E5"/>
    <w:rsid w:val="00AB30F8"/>
    <w:rsid w:val="00AB3261"/>
    <w:rsid w:val="00AB3598"/>
    <w:rsid w:val="00AB3735"/>
    <w:rsid w:val="00AB3B7A"/>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1176"/>
    <w:rsid w:val="00AC13B9"/>
    <w:rsid w:val="00AC15F3"/>
    <w:rsid w:val="00AC172A"/>
    <w:rsid w:val="00AC1741"/>
    <w:rsid w:val="00AC1D3B"/>
    <w:rsid w:val="00AC1FF3"/>
    <w:rsid w:val="00AC2010"/>
    <w:rsid w:val="00AC2140"/>
    <w:rsid w:val="00AC28A9"/>
    <w:rsid w:val="00AC2DCD"/>
    <w:rsid w:val="00AC39AF"/>
    <w:rsid w:val="00AC3A5D"/>
    <w:rsid w:val="00AC3CBA"/>
    <w:rsid w:val="00AC4153"/>
    <w:rsid w:val="00AC4491"/>
    <w:rsid w:val="00AC4A11"/>
    <w:rsid w:val="00AC501D"/>
    <w:rsid w:val="00AC508F"/>
    <w:rsid w:val="00AC5279"/>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BA0"/>
    <w:rsid w:val="00AF6E52"/>
    <w:rsid w:val="00AF70B9"/>
    <w:rsid w:val="00AF735B"/>
    <w:rsid w:val="00AF743B"/>
    <w:rsid w:val="00AF7E22"/>
    <w:rsid w:val="00B000E6"/>
    <w:rsid w:val="00B004C7"/>
    <w:rsid w:val="00B00815"/>
    <w:rsid w:val="00B00D0C"/>
    <w:rsid w:val="00B00F58"/>
    <w:rsid w:val="00B01561"/>
    <w:rsid w:val="00B01E4E"/>
    <w:rsid w:val="00B01EDD"/>
    <w:rsid w:val="00B021D6"/>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B38"/>
    <w:rsid w:val="00B05CE7"/>
    <w:rsid w:val="00B05D2C"/>
    <w:rsid w:val="00B06125"/>
    <w:rsid w:val="00B06238"/>
    <w:rsid w:val="00B064A7"/>
    <w:rsid w:val="00B07109"/>
    <w:rsid w:val="00B07142"/>
    <w:rsid w:val="00B07243"/>
    <w:rsid w:val="00B0748F"/>
    <w:rsid w:val="00B0789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BC"/>
    <w:rsid w:val="00B11DAC"/>
    <w:rsid w:val="00B11EDB"/>
    <w:rsid w:val="00B120DD"/>
    <w:rsid w:val="00B121D2"/>
    <w:rsid w:val="00B127A6"/>
    <w:rsid w:val="00B12813"/>
    <w:rsid w:val="00B12AAF"/>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FDF"/>
    <w:rsid w:val="00B2156C"/>
    <w:rsid w:val="00B21808"/>
    <w:rsid w:val="00B21EFC"/>
    <w:rsid w:val="00B21F1B"/>
    <w:rsid w:val="00B220B1"/>
    <w:rsid w:val="00B2274D"/>
    <w:rsid w:val="00B22A7E"/>
    <w:rsid w:val="00B22C12"/>
    <w:rsid w:val="00B22FEA"/>
    <w:rsid w:val="00B230CB"/>
    <w:rsid w:val="00B2336E"/>
    <w:rsid w:val="00B233A3"/>
    <w:rsid w:val="00B239C9"/>
    <w:rsid w:val="00B239E4"/>
    <w:rsid w:val="00B23B5E"/>
    <w:rsid w:val="00B23B8E"/>
    <w:rsid w:val="00B23E15"/>
    <w:rsid w:val="00B2419B"/>
    <w:rsid w:val="00B241A5"/>
    <w:rsid w:val="00B247AB"/>
    <w:rsid w:val="00B24B9F"/>
    <w:rsid w:val="00B24E69"/>
    <w:rsid w:val="00B24F47"/>
    <w:rsid w:val="00B252DF"/>
    <w:rsid w:val="00B25622"/>
    <w:rsid w:val="00B25787"/>
    <w:rsid w:val="00B25C0F"/>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C93"/>
    <w:rsid w:val="00B32F9D"/>
    <w:rsid w:val="00B3310E"/>
    <w:rsid w:val="00B33425"/>
    <w:rsid w:val="00B3346F"/>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4E"/>
    <w:rsid w:val="00B40E78"/>
    <w:rsid w:val="00B415AA"/>
    <w:rsid w:val="00B41602"/>
    <w:rsid w:val="00B41DA2"/>
    <w:rsid w:val="00B41DD8"/>
    <w:rsid w:val="00B423AD"/>
    <w:rsid w:val="00B4253C"/>
    <w:rsid w:val="00B42901"/>
    <w:rsid w:val="00B42CD6"/>
    <w:rsid w:val="00B42D26"/>
    <w:rsid w:val="00B42EB2"/>
    <w:rsid w:val="00B43186"/>
    <w:rsid w:val="00B43325"/>
    <w:rsid w:val="00B43359"/>
    <w:rsid w:val="00B4347B"/>
    <w:rsid w:val="00B4358D"/>
    <w:rsid w:val="00B43913"/>
    <w:rsid w:val="00B43A47"/>
    <w:rsid w:val="00B43C9D"/>
    <w:rsid w:val="00B43D6A"/>
    <w:rsid w:val="00B443DC"/>
    <w:rsid w:val="00B447A6"/>
    <w:rsid w:val="00B44A0E"/>
    <w:rsid w:val="00B44E83"/>
    <w:rsid w:val="00B45112"/>
    <w:rsid w:val="00B4569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FB8"/>
    <w:rsid w:val="00B706F3"/>
    <w:rsid w:val="00B7072C"/>
    <w:rsid w:val="00B70A7D"/>
    <w:rsid w:val="00B70CB8"/>
    <w:rsid w:val="00B7166A"/>
    <w:rsid w:val="00B71689"/>
    <w:rsid w:val="00B71CEF"/>
    <w:rsid w:val="00B71F77"/>
    <w:rsid w:val="00B71FC7"/>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BF5"/>
    <w:rsid w:val="00B81EFF"/>
    <w:rsid w:val="00B820DE"/>
    <w:rsid w:val="00B8260D"/>
    <w:rsid w:val="00B826D9"/>
    <w:rsid w:val="00B8284B"/>
    <w:rsid w:val="00B82910"/>
    <w:rsid w:val="00B82AA9"/>
    <w:rsid w:val="00B83AEF"/>
    <w:rsid w:val="00B83B55"/>
    <w:rsid w:val="00B83EAD"/>
    <w:rsid w:val="00B84451"/>
    <w:rsid w:val="00B84758"/>
    <w:rsid w:val="00B8484F"/>
    <w:rsid w:val="00B8498F"/>
    <w:rsid w:val="00B84B3E"/>
    <w:rsid w:val="00B850D9"/>
    <w:rsid w:val="00B854EA"/>
    <w:rsid w:val="00B85E34"/>
    <w:rsid w:val="00B85EA1"/>
    <w:rsid w:val="00B8607E"/>
    <w:rsid w:val="00B86108"/>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2C"/>
    <w:rsid w:val="00B917C9"/>
    <w:rsid w:val="00B91E49"/>
    <w:rsid w:val="00B9206F"/>
    <w:rsid w:val="00B920F3"/>
    <w:rsid w:val="00B922A3"/>
    <w:rsid w:val="00B92918"/>
    <w:rsid w:val="00B92D46"/>
    <w:rsid w:val="00B92E71"/>
    <w:rsid w:val="00B93150"/>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90E"/>
    <w:rsid w:val="00BA0A0B"/>
    <w:rsid w:val="00BA0E45"/>
    <w:rsid w:val="00BA1057"/>
    <w:rsid w:val="00BA1189"/>
    <w:rsid w:val="00BA13C2"/>
    <w:rsid w:val="00BA13C3"/>
    <w:rsid w:val="00BA1420"/>
    <w:rsid w:val="00BA1648"/>
    <w:rsid w:val="00BA1A3F"/>
    <w:rsid w:val="00BA2A65"/>
    <w:rsid w:val="00BA2BF6"/>
    <w:rsid w:val="00BA30D3"/>
    <w:rsid w:val="00BA359C"/>
    <w:rsid w:val="00BA3D42"/>
    <w:rsid w:val="00BA3E38"/>
    <w:rsid w:val="00BA430D"/>
    <w:rsid w:val="00BA466A"/>
    <w:rsid w:val="00BA466D"/>
    <w:rsid w:val="00BA4A8C"/>
    <w:rsid w:val="00BA5697"/>
    <w:rsid w:val="00BA59C2"/>
    <w:rsid w:val="00BA5BDE"/>
    <w:rsid w:val="00BA5E99"/>
    <w:rsid w:val="00BA5F15"/>
    <w:rsid w:val="00BA6022"/>
    <w:rsid w:val="00BA6148"/>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21B0"/>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5F08"/>
    <w:rsid w:val="00BB6801"/>
    <w:rsid w:val="00BB6D71"/>
    <w:rsid w:val="00BB71D7"/>
    <w:rsid w:val="00BB7280"/>
    <w:rsid w:val="00BB7312"/>
    <w:rsid w:val="00BB76D8"/>
    <w:rsid w:val="00BB7ABF"/>
    <w:rsid w:val="00BB7C33"/>
    <w:rsid w:val="00BC0096"/>
    <w:rsid w:val="00BC00CE"/>
    <w:rsid w:val="00BC031E"/>
    <w:rsid w:val="00BC0363"/>
    <w:rsid w:val="00BC0914"/>
    <w:rsid w:val="00BC10C2"/>
    <w:rsid w:val="00BC1AE1"/>
    <w:rsid w:val="00BC1D76"/>
    <w:rsid w:val="00BC1F69"/>
    <w:rsid w:val="00BC21AA"/>
    <w:rsid w:val="00BC21AF"/>
    <w:rsid w:val="00BC22D9"/>
    <w:rsid w:val="00BC2422"/>
    <w:rsid w:val="00BC2503"/>
    <w:rsid w:val="00BC290E"/>
    <w:rsid w:val="00BC2B80"/>
    <w:rsid w:val="00BC2D0C"/>
    <w:rsid w:val="00BC2F0C"/>
    <w:rsid w:val="00BC2FA5"/>
    <w:rsid w:val="00BC342A"/>
    <w:rsid w:val="00BC34B5"/>
    <w:rsid w:val="00BC35A2"/>
    <w:rsid w:val="00BC38D4"/>
    <w:rsid w:val="00BC41E1"/>
    <w:rsid w:val="00BC42E3"/>
    <w:rsid w:val="00BC46CF"/>
    <w:rsid w:val="00BC47C6"/>
    <w:rsid w:val="00BC48A8"/>
    <w:rsid w:val="00BC48EE"/>
    <w:rsid w:val="00BC49EF"/>
    <w:rsid w:val="00BC4B24"/>
    <w:rsid w:val="00BC4BDE"/>
    <w:rsid w:val="00BC54C3"/>
    <w:rsid w:val="00BC5AF9"/>
    <w:rsid w:val="00BC5E44"/>
    <w:rsid w:val="00BC60EF"/>
    <w:rsid w:val="00BC63EE"/>
    <w:rsid w:val="00BC6667"/>
    <w:rsid w:val="00BC6763"/>
    <w:rsid w:val="00BC6DF7"/>
    <w:rsid w:val="00BC7205"/>
    <w:rsid w:val="00BC79D4"/>
    <w:rsid w:val="00BC79E1"/>
    <w:rsid w:val="00BC7D48"/>
    <w:rsid w:val="00BD006E"/>
    <w:rsid w:val="00BD0485"/>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AEA"/>
    <w:rsid w:val="00BD5F7C"/>
    <w:rsid w:val="00BD640E"/>
    <w:rsid w:val="00BD6792"/>
    <w:rsid w:val="00BD6C14"/>
    <w:rsid w:val="00BD6D90"/>
    <w:rsid w:val="00BD6FC0"/>
    <w:rsid w:val="00BD70CA"/>
    <w:rsid w:val="00BD75A5"/>
    <w:rsid w:val="00BD7A58"/>
    <w:rsid w:val="00BD7B8A"/>
    <w:rsid w:val="00BD7C25"/>
    <w:rsid w:val="00BE0077"/>
    <w:rsid w:val="00BE05E2"/>
    <w:rsid w:val="00BE060B"/>
    <w:rsid w:val="00BE06ED"/>
    <w:rsid w:val="00BE087F"/>
    <w:rsid w:val="00BE0BA5"/>
    <w:rsid w:val="00BE0C04"/>
    <w:rsid w:val="00BE0CBF"/>
    <w:rsid w:val="00BE0D07"/>
    <w:rsid w:val="00BE0F38"/>
    <w:rsid w:val="00BE0F90"/>
    <w:rsid w:val="00BE10BA"/>
    <w:rsid w:val="00BE167E"/>
    <w:rsid w:val="00BE174A"/>
    <w:rsid w:val="00BE19B0"/>
    <w:rsid w:val="00BE2169"/>
    <w:rsid w:val="00BE36E1"/>
    <w:rsid w:val="00BE377E"/>
    <w:rsid w:val="00BE38A0"/>
    <w:rsid w:val="00BE3EF2"/>
    <w:rsid w:val="00BE41D9"/>
    <w:rsid w:val="00BE41DE"/>
    <w:rsid w:val="00BE43C0"/>
    <w:rsid w:val="00BE44F3"/>
    <w:rsid w:val="00BE4543"/>
    <w:rsid w:val="00BE4A8B"/>
    <w:rsid w:val="00BE4B7E"/>
    <w:rsid w:val="00BE4C08"/>
    <w:rsid w:val="00BE4E8B"/>
    <w:rsid w:val="00BE4F61"/>
    <w:rsid w:val="00BE53A5"/>
    <w:rsid w:val="00BE54D5"/>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9F7"/>
    <w:rsid w:val="00BF0B29"/>
    <w:rsid w:val="00BF0EE4"/>
    <w:rsid w:val="00BF0F93"/>
    <w:rsid w:val="00BF129B"/>
    <w:rsid w:val="00BF15B8"/>
    <w:rsid w:val="00BF1A81"/>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B4E"/>
    <w:rsid w:val="00BF5DFF"/>
    <w:rsid w:val="00BF69D1"/>
    <w:rsid w:val="00BF6D60"/>
    <w:rsid w:val="00BF6ED3"/>
    <w:rsid w:val="00BF70B9"/>
    <w:rsid w:val="00BF7377"/>
    <w:rsid w:val="00BF7451"/>
    <w:rsid w:val="00BF7D08"/>
    <w:rsid w:val="00BF7E62"/>
    <w:rsid w:val="00C0033F"/>
    <w:rsid w:val="00C00370"/>
    <w:rsid w:val="00C0057C"/>
    <w:rsid w:val="00C00660"/>
    <w:rsid w:val="00C00927"/>
    <w:rsid w:val="00C00DA3"/>
    <w:rsid w:val="00C00DB9"/>
    <w:rsid w:val="00C00F18"/>
    <w:rsid w:val="00C00FCB"/>
    <w:rsid w:val="00C01167"/>
    <w:rsid w:val="00C0126A"/>
    <w:rsid w:val="00C01448"/>
    <w:rsid w:val="00C01578"/>
    <w:rsid w:val="00C018F3"/>
    <w:rsid w:val="00C019F8"/>
    <w:rsid w:val="00C02039"/>
    <w:rsid w:val="00C022E5"/>
    <w:rsid w:val="00C024C9"/>
    <w:rsid w:val="00C02696"/>
    <w:rsid w:val="00C02B62"/>
    <w:rsid w:val="00C02B73"/>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6F70"/>
    <w:rsid w:val="00C07324"/>
    <w:rsid w:val="00C07481"/>
    <w:rsid w:val="00C07789"/>
    <w:rsid w:val="00C07812"/>
    <w:rsid w:val="00C07835"/>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3134"/>
    <w:rsid w:val="00C13377"/>
    <w:rsid w:val="00C135B5"/>
    <w:rsid w:val="00C13EB0"/>
    <w:rsid w:val="00C145BA"/>
    <w:rsid w:val="00C14F0C"/>
    <w:rsid w:val="00C152AA"/>
    <w:rsid w:val="00C1531C"/>
    <w:rsid w:val="00C1542D"/>
    <w:rsid w:val="00C157C9"/>
    <w:rsid w:val="00C15964"/>
    <w:rsid w:val="00C15AD2"/>
    <w:rsid w:val="00C15C21"/>
    <w:rsid w:val="00C15F01"/>
    <w:rsid w:val="00C1637F"/>
    <w:rsid w:val="00C1641D"/>
    <w:rsid w:val="00C1659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7C4"/>
    <w:rsid w:val="00C247FD"/>
    <w:rsid w:val="00C24A07"/>
    <w:rsid w:val="00C24B64"/>
    <w:rsid w:val="00C24EF5"/>
    <w:rsid w:val="00C2501E"/>
    <w:rsid w:val="00C2561D"/>
    <w:rsid w:val="00C258B1"/>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514"/>
    <w:rsid w:val="00C3062A"/>
    <w:rsid w:val="00C30783"/>
    <w:rsid w:val="00C3093C"/>
    <w:rsid w:val="00C30ECB"/>
    <w:rsid w:val="00C31E81"/>
    <w:rsid w:val="00C31F32"/>
    <w:rsid w:val="00C320B2"/>
    <w:rsid w:val="00C320B6"/>
    <w:rsid w:val="00C3210E"/>
    <w:rsid w:val="00C32288"/>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7"/>
    <w:rsid w:val="00C37A80"/>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2CEA"/>
    <w:rsid w:val="00C730B4"/>
    <w:rsid w:val="00C734D0"/>
    <w:rsid w:val="00C73C6F"/>
    <w:rsid w:val="00C741F0"/>
    <w:rsid w:val="00C74449"/>
    <w:rsid w:val="00C74A06"/>
    <w:rsid w:val="00C74C3D"/>
    <w:rsid w:val="00C74ECF"/>
    <w:rsid w:val="00C754DD"/>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25"/>
    <w:rsid w:val="00C82B0B"/>
    <w:rsid w:val="00C82E4C"/>
    <w:rsid w:val="00C82E5F"/>
    <w:rsid w:val="00C83180"/>
    <w:rsid w:val="00C83611"/>
    <w:rsid w:val="00C84138"/>
    <w:rsid w:val="00C84D15"/>
    <w:rsid w:val="00C84E67"/>
    <w:rsid w:val="00C84EDF"/>
    <w:rsid w:val="00C85B84"/>
    <w:rsid w:val="00C85CAD"/>
    <w:rsid w:val="00C86031"/>
    <w:rsid w:val="00C86069"/>
    <w:rsid w:val="00C864A4"/>
    <w:rsid w:val="00C86F27"/>
    <w:rsid w:val="00C87318"/>
    <w:rsid w:val="00C87480"/>
    <w:rsid w:val="00C874BF"/>
    <w:rsid w:val="00C8776C"/>
    <w:rsid w:val="00C87AF6"/>
    <w:rsid w:val="00C87CAA"/>
    <w:rsid w:val="00C90D5B"/>
    <w:rsid w:val="00C912E9"/>
    <w:rsid w:val="00C91769"/>
    <w:rsid w:val="00C919B9"/>
    <w:rsid w:val="00C92271"/>
    <w:rsid w:val="00C9230C"/>
    <w:rsid w:val="00C929C8"/>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AD2"/>
    <w:rsid w:val="00C97B38"/>
    <w:rsid w:val="00C97CF9"/>
    <w:rsid w:val="00CA03C3"/>
    <w:rsid w:val="00CA03F6"/>
    <w:rsid w:val="00CA061A"/>
    <w:rsid w:val="00CA0820"/>
    <w:rsid w:val="00CA0A11"/>
    <w:rsid w:val="00CA0AFF"/>
    <w:rsid w:val="00CA0B6E"/>
    <w:rsid w:val="00CA0BE5"/>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3AE"/>
    <w:rsid w:val="00CA78D2"/>
    <w:rsid w:val="00CA7A2A"/>
    <w:rsid w:val="00CA7ABD"/>
    <w:rsid w:val="00CA7BEA"/>
    <w:rsid w:val="00CA7EC6"/>
    <w:rsid w:val="00CB0105"/>
    <w:rsid w:val="00CB01CA"/>
    <w:rsid w:val="00CB0304"/>
    <w:rsid w:val="00CB0922"/>
    <w:rsid w:val="00CB09B9"/>
    <w:rsid w:val="00CB1694"/>
    <w:rsid w:val="00CB170D"/>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427"/>
    <w:rsid w:val="00CC05E8"/>
    <w:rsid w:val="00CC05FF"/>
    <w:rsid w:val="00CC0772"/>
    <w:rsid w:val="00CC09A7"/>
    <w:rsid w:val="00CC09B0"/>
    <w:rsid w:val="00CC0A2B"/>
    <w:rsid w:val="00CC0C96"/>
    <w:rsid w:val="00CC0D12"/>
    <w:rsid w:val="00CC0FDA"/>
    <w:rsid w:val="00CC1299"/>
    <w:rsid w:val="00CC132A"/>
    <w:rsid w:val="00CC1396"/>
    <w:rsid w:val="00CC151B"/>
    <w:rsid w:val="00CC155A"/>
    <w:rsid w:val="00CC188A"/>
    <w:rsid w:val="00CC1962"/>
    <w:rsid w:val="00CC1C6D"/>
    <w:rsid w:val="00CC2462"/>
    <w:rsid w:val="00CC27FB"/>
    <w:rsid w:val="00CC28A3"/>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5B"/>
    <w:rsid w:val="00CE08D3"/>
    <w:rsid w:val="00CE0A9A"/>
    <w:rsid w:val="00CE0C6E"/>
    <w:rsid w:val="00CE0E22"/>
    <w:rsid w:val="00CE0E9E"/>
    <w:rsid w:val="00CE0FC6"/>
    <w:rsid w:val="00CE1267"/>
    <w:rsid w:val="00CE1427"/>
    <w:rsid w:val="00CE159B"/>
    <w:rsid w:val="00CE169A"/>
    <w:rsid w:val="00CE1A4A"/>
    <w:rsid w:val="00CE1B77"/>
    <w:rsid w:val="00CE1E03"/>
    <w:rsid w:val="00CE2196"/>
    <w:rsid w:val="00CE2971"/>
    <w:rsid w:val="00CE2C7B"/>
    <w:rsid w:val="00CE33C9"/>
    <w:rsid w:val="00CE3686"/>
    <w:rsid w:val="00CE3EFA"/>
    <w:rsid w:val="00CE4275"/>
    <w:rsid w:val="00CE4518"/>
    <w:rsid w:val="00CE4741"/>
    <w:rsid w:val="00CE4779"/>
    <w:rsid w:val="00CE4CD3"/>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E50"/>
    <w:rsid w:val="00CF5358"/>
    <w:rsid w:val="00CF551E"/>
    <w:rsid w:val="00CF57F4"/>
    <w:rsid w:val="00CF589F"/>
    <w:rsid w:val="00CF58F3"/>
    <w:rsid w:val="00CF59E2"/>
    <w:rsid w:val="00CF5A20"/>
    <w:rsid w:val="00CF5A39"/>
    <w:rsid w:val="00CF5A5B"/>
    <w:rsid w:val="00CF5C48"/>
    <w:rsid w:val="00CF5E94"/>
    <w:rsid w:val="00CF6498"/>
    <w:rsid w:val="00CF654D"/>
    <w:rsid w:val="00CF67B0"/>
    <w:rsid w:val="00CF6F3E"/>
    <w:rsid w:val="00CF76D4"/>
    <w:rsid w:val="00CF7786"/>
    <w:rsid w:val="00CF7AAC"/>
    <w:rsid w:val="00CF7B1A"/>
    <w:rsid w:val="00CF7D9E"/>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931"/>
    <w:rsid w:val="00D12CD2"/>
    <w:rsid w:val="00D12FFA"/>
    <w:rsid w:val="00D13113"/>
    <w:rsid w:val="00D13744"/>
    <w:rsid w:val="00D139F0"/>
    <w:rsid w:val="00D13C5E"/>
    <w:rsid w:val="00D13EF6"/>
    <w:rsid w:val="00D141BD"/>
    <w:rsid w:val="00D1496A"/>
    <w:rsid w:val="00D14B6A"/>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06E"/>
    <w:rsid w:val="00D24420"/>
    <w:rsid w:val="00D24524"/>
    <w:rsid w:val="00D2487E"/>
    <w:rsid w:val="00D24988"/>
    <w:rsid w:val="00D24B65"/>
    <w:rsid w:val="00D24D2D"/>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8DA"/>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37EA0"/>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6D7"/>
    <w:rsid w:val="00D4272C"/>
    <w:rsid w:val="00D4274E"/>
    <w:rsid w:val="00D42F28"/>
    <w:rsid w:val="00D4321B"/>
    <w:rsid w:val="00D435B0"/>
    <w:rsid w:val="00D435BD"/>
    <w:rsid w:val="00D4394A"/>
    <w:rsid w:val="00D43BB4"/>
    <w:rsid w:val="00D442CE"/>
    <w:rsid w:val="00D444F2"/>
    <w:rsid w:val="00D449E4"/>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126C"/>
    <w:rsid w:val="00D5170E"/>
    <w:rsid w:val="00D51930"/>
    <w:rsid w:val="00D51A6E"/>
    <w:rsid w:val="00D51E70"/>
    <w:rsid w:val="00D52680"/>
    <w:rsid w:val="00D536DC"/>
    <w:rsid w:val="00D536F1"/>
    <w:rsid w:val="00D54108"/>
    <w:rsid w:val="00D5436C"/>
    <w:rsid w:val="00D54391"/>
    <w:rsid w:val="00D547F2"/>
    <w:rsid w:val="00D54833"/>
    <w:rsid w:val="00D549F4"/>
    <w:rsid w:val="00D54D08"/>
    <w:rsid w:val="00D54E2F"/>
    <w:rsid w:val="00D5535C"/>
    <w:rsid w:val="00D5541B"/>
    <w:rsid w:val="00D5564A"/>
    <w:rsid w:val="00D55683"/>
    <w:rsid w:val="00D55AFA"/>
    <w:rsid w:val="00D5613E"/>
    <w:rsid w:val="00D56396"/>
    <w:rsid w:val="00D56460"/>
    <w:rsid w:val="00D56968"/>
    <w:rsid w:val="00D56B1B"/>
    <w:rsid w:val="00D5740A"/>
    <w:rsid w:val="00D57547"/>
    <w:rsid w:val="00D5757A"/>
    <w:rsid w:val="00D57A15"/>
    <w:rsid w:val="00D57E19"/>
    <w:rsid w:val="00D57FDA"/>
    <w:rsid w:val="00D60464"/>
    <w:rsid w:val="00D605B7"/>
    <w:rsid w:val="00D60A11"/>
    <w:rsid w:val="00D60FF7"/>
    <w:rsid w:val="00D610C8"/>
    <w:rsid w:val="00D6199C"/>
    <w:rsid w:val="00D61D90"/>
    <w:rsid w:val="00D61DBA"/>
    <w:rsid w:val="00D61FA1"/>
    <w:rsid w:val="00D622B9"/>
    <w:rsid w:val="00D62C8E"/>
    <w:rsid w:val="00D62C99"/>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395"/>
    <w:rsid w:val="00D66480"/>
    <w:rsid w:val="00D669D8"/>
    <w:rsid w:val="00D66CB7"/>
    <w:rsid w:val="00D671D8"/>
    <w:rsid w:val="00D6781E"/>
    <w:rsid w:val="00D67A31"/>
    <w:rsid w:val="00D702CB"/>
    <w:rsid w:val="00D704F1"/>
    <w:rsid w:val="00D70B8C"/>
    <w:rsid w:val="00D71092"/>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50D"/>
    <w:rsid w:val="00D748BF"/>
    <w:rsid w:val="00D74F1B"/>
    <w:rsid w:val="00D7571F"/>
    <w:rsid w:val="00D75757"/>
    <w:rsid w:val="00D758DD"/>
    <w:rsid w:val="00D75D22"/>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BAE"/>
    <w:rsid w:val="00D82E00"/>
    <w:rsid w:val="00D83208"/>
    <w:rsid w:val="00D837F3"/>
    <w:rsid w:val="00D83A6E"/>
    <w:rsid w:val="00D83AAB"/>
    <w:rsid w:val="00D8432C"/>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5D9"/>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50B"/>
    <w:rsid w:val="00DA1524"/>
    <w:rsid w:val="00DA1D7F"/>
    <w:rsid w:val="00DA1F6F"/>
    <w:rsid w:val="00DA2010"/>
    <w:rsid w:val="00DA26A7"/>
    <w:rsid w:val="00DA2A6A"/>
    <w:rsid w:val="00DA2AB6"/>
    <w:rsid w:val="00DA2E73"/>
    <w:rsid w:val="00DA3059"/>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00A"/>
    <w:rsid w:val="00DC03E8"/>
    <w:rsid w:val="00DC0483"/>
    <w:rsid w:val="00DC074A"/>
    <w:rsid w:val="00DC0837"/>
    <w:rsid w:val="00DC09B2"/>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F5"/>
    <w:rsid w:val="00DD0134"/>
    <w:rsid w:val="00DD0276"/>
    <w:rsid w:val="00DD0442"/>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D61"/>
    <w:rsid w:val="00DD7E26"/>
    <w:rsid w:val="00DE0127"/>
    <w:rsid w:val="00DE0B62"/>
    <w:rsid w:val="00DE0F5E"/>
    <w:rsid w:val="00DE1311"/>
    <w:rsid w:val="00DE1384"/>
    <w:rsid w:val="00DE14AF"/>
    <w:rsid w:val="00DE159C"/>
    <w:rsid w:val="00DE1624"/>
    <w:rsid w:val="00DE1C6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D18"/>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E4F"/>
    <w:rsid w:val="00DF407A"/>
    <w:rsid w:val="00DF4238"/>
    <w:rsid w:val="00DF42D0"/>
    <w:rsid w:val="00DF4457"/>
    <w:rsid w:val="00DF4692"/>
    <w:rsid w:val="00DF488D"/>
    <w:rsid w:val="00DF48C1"/>
    <w:rsid w:val="00DF4D26"/>
    <w:rsid w:val="00DF4FEE"/>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C5C"/>
    <w:rsid w:val="00E00E3F"/>
    <w:rsid w:val="00E00EB6"/>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CAB"/>
    <w:rsid w:val="00E12F38"/>
    <w:rsid w:val="00E13410"/>
    <w:rsid w:val="00E135AC"/>
    <w:rsid w:val="00E1397B"/>
    <w:rsid w:val="00E13B98"/>
    <w:rsid w:val="00E13C3F"/>
    <w:rsid w:val="00E13D0B"/>
    <w:rsid w:val="00E13FD7"/>
    <w:rsid w:val="00E140E1"/>
    <w:rsid w:val="00E1440E"/>
    <w:rsid w:val="00E1446D"/>
    <w:rsid w:val="00E148EB"/>
    <w:rsid w:val="00E149FF"/>
    <w:rsid w:val="00E14AE8"/>
    <w:rsid w:val="00E15043"/>
    <w:rsid w:val="00E15237"/>
    <w:rsid w:val="00E152E7"/>
    <w:rsid w:val="00E15575"/>
    <w:rsid w:val="00E15622"/>
    <w:rsid w:val="00E166C0"/>
    <w:rsid w:val="00E1696F"/>
    <w:rsid w:val="00E17267"/>
    <w:rsid w:val="00E175E8"/>
    <w:rsid w:val="00E17685"/>
    <w:rsid w:val="00E17A65"/>
    <w:rsid w:val="00E20189"/>
    <w:rsid w:val="00E2081D"/>
    <w:rsid w:val="00E20A15"/>
    <w:rsid w:val="00E20AD9"/>
    <w:rsid w:val="00E20ADC"/>
    <w:rsid w:val="00E20C83"/>
    <w:rsid w:val="00E21191"/>
    <w:rsid w:val="00E2165B"/>
    <w:rsid w:val="00E2174F"/>
    <w:rsid w:val="00E218C0"/>
    <w:rsid w:val="00E21911"/>
    <w:rsid w:val="00E21CCB"/>
    <w:rsid w:val="00E21E31"/>
    <w:rsid w:val="00E21F63"/>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E63"/>
    <w:rsid w:val="00E35EBF"/>
    <w:rsid w:val="00E363A9"/>
    <w:rsid w:val="00E3666E"/>
    <w:rsid w:val="00E36C3E"/>
    <w:rsid w:val="00E36D6C"/>
    <w:rsid w:val="00E370BC"/>
    <w:rsid w:val="00E371C3"/>
    <w:rsid w:val="00E373AC"/>
    <w:rsid w:val="00E376BA"/>
    <w:rsid w:val="00E37956"/>
    <w:rsid w:val="00E379EB"/>
    <w:rsid w:val="00E4013C"/>
    <w:rsid w:val="00E401F7"/>
    <w:rsid w:val="00E40AF6"/>
    <w:rsid w:val="00E40E63"/>
    <w:rsid w:val="00E40F3B"/>
    <w:rsid w:val="00E4119D"/>
    <w:rsid w:val="00E411ED"/>
    <w:rsid w:val="00E4127C"/>
    <w:rsid w:val="00E4133D"/>
    <w:rsid w:val="00E41521"/>
    <w:rsid w:val="00E4164B"/>
    <w:rsid w:val="00E416F5"/>
    <w:rsid w:val="00E41ADF"/>
    <w:rsid w:val="00E41FA7"/>
    <w:rsid w:val="00E42C92"/>
    <w:rsid w:val="00E42ED6"/>
    <w:rsid w:val="00E433A4"/>
    <w:rsid w:val="00E43A7D"/>
    <w:rsid w:val="00E43B7E"/>
    <w:rsid w:val="00E44181"/>
    <w:rsid w:val="00E443C3"/>
    <w:rsid w:val="00E443E0"/>
    <w:rsid w:val="00E4448C"/>
    <w:rsid w:val="00E445EA"/>
    <w:rsid w:val="00E4471B"/>
    <w:rsid w:val="00E44902"/>
    <w:rsid w:val="00E44D6D"/>
    <w:rsid w:val="00E44EFE"/>
    <w:rsid w:val="00E45141"/>
    <w:rsid w:val="00E455FD"/>
    <w:rsid w:val="00E4563B"/>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58"/>
    <w:rsid w:val="00E560B5"/>
    <w:rsid w:val="00E568A6"/>
    <w:rsid w:val="00E5692A"/>
    <w:rsid w:val="00E56EE8"/>
    <w:rsid w:val="00E56EEB"/>
    <w:rsid w:val="00E579B2"/>
    <w:rsid w:val="00E601F5"/>
    <w:rsid w:val="00E60264"/>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27E"/>
    <w:rsid w:val="00E7428E"/>
    <w:rsid w:val="00E7432C"/>
    <w:rsid w:val="00E746AA"/>
    <w:rsid w:val="00E74736"/>
    <w:rsid w:val="00E74A72"/>
    <w:rsid w:val="00E7569C"/>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3AA"/>
    <w:rsid w:val="00E85ADE"/>
    <w:rsid w:val="00E86350"/>
    <w:rsid w:val="00E863DE"/>
    <w:rsid w:val="00E8659A"/>
    <w:rsid w:val="00E866AB"/>
    <w:rsid w:val="00E86752"/>
    <w:rsid w:val="00E86959"/>
    <w:rsid w:val="00E86E36"/>
    <w:rsid w:val="00E87577"/>
    <w:rsid w:val="00E87891"/>
    <w:rsid w:val="00E87EEF"/>
    <w:rsid w:val="00E91078"/>
    <w:rsid w:val="00E914F4"/>
    <w:rsid w:val="00E915EC"/>
    <w:rsid w:val="00E91D67"/>
    <w:rsid w:val="00E921A1"/>
    <w:rsid w:val="00E92603"/>
    <w:rsid w:val="00E927DD"/>
    <w:rsid w:val="00E928A3"/>
    <w:rsid w:val="00E92AE4"/>
    <w:rsid w:val="00E92BFE"/>
    <w:rsid w:val="00E932AF"/>
    <w:rsid w:val="00E93352"/>
    <w:rsid w:val="00E936B1"/>
    <w:rsid w:val="00E93C58"/>
    <w:rsid w:val="00E93FD2"/>
    <w:rsid w:val="00E94099"/>
    <w:rsid w:val="00E94208"/>
    <w:rsid w:val="00E94695"/>
    <w:rsid w:val="00E94A6A"/>
    <w:rsid w:val="00E94A79"/>
    <w:rsid w:val="00E94B05"/>
    <w:rsid w:val="00E94D40"/>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090"/>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394"/>
    <w:rsid w:val="00EA48EB"/>
    <w:rsid w:val="00EA4970"/>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2C6"/>
    <w:rsid w:val="00EA7363"/>
    <w:rsid w:val="00EA7513"/>
    <w:rsid w:val="00EA78FC"/>
    <w:rsid w:val="00EA7ADE"/>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C10"/>
    <w:rsid w:val="00EB6D76"/>
    <w:rsid w:val="00EB73D2"/>
    <w:rsid w:val="00EB774E"/>
    <w:rsid w:val="00EB7F38"/>
    <w:rsid w:val="00EC00F3"/>
    <w:rsid w:val="00EC019C"/>
    <w:rsid w:val="00EC01F2"/>
    <w:rsid w:val="00EC0341"/>
    <w:rsid w:val="00EC034B"/>
    <w:rsid w:val="00EC0955"/>
    <w:rsid w:val="00EC09F6"/>
    <w:rsid w:val="00EC0BB2"/>
    <w:rsid w:val="00EC1216"/>
    <w:rsid w:val="00EC1782"/>
    <w:rsid w:val="00EC1B22"/>
    <w:rsid w:val="00EC1EAD"/>
    <w:rsid w:val="00EC2555"/>
    <w:rsid w:val="00EC2CF8"/>
    <w:rsid w:val="00EC2D1B"/>
    <w:rsid w:val="00EC34D6"/>
    <w:rsid w:val="00EC404E"/>
    <w:rsid w:val="00EC5182"/>
    <w:rsid w:val="00EC5191"/>
    <w:rsid w:val="00EC51B5"/>
    <w:rsid w:val="00EC51FD"/>
    <w:rsid w:val="00EC531B"/>
    <w:rsid w:val="00EC546B"/>
    <w:rsid w:val="00EC5FDC"/>
    <w:rsid w:val="00EC6055"/>
    <w:rsid w:val="00EC613F"/>
    <w:rsid w:val="00EC64DC"/>
    <w:rsid w:val="00EC6511"/>
    <w:rsid w:val="00EC6547"/>
    <w:rsid w:val="00EC65EB"/>
    <w:rsid w:val="00EC6E9E"/>
    <w:rsid w:val="00EC6EB4"/>
    <w:rsid w:val="00EC70DE"/>
    <w:rsid w:val="00EC7349"/>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201"/>
    <w:rsid w:val="00EE230C"/>
    <w:rsid w:val="00EE31B3"/>
    <w:rsid w:val="00EE3711"/>
    <w:rsid w:val="00EE380B"/>
    <w:rsid w:val="00EE3BC2"/>
    <w:rsid w:val="00EE4D6E"/>
    <w:rsid w:val="00EE5024"/>
    <w:rsid w:val="00EE5326"/>
    <w:rsid w:val="00EE5C91"/>
    <w:rsid w:val="00EE6047"/>
    <w:rsid w:val="00EE6159"/>
    <w:rsid w:val="00EE6C01"/>
    <w:rsid w:val="00EE6D1E"/>
    <w:rsid w:val="00EE7000"/>
    <w:rsid w:val="00EE7074"/>
    <w:rsid w:val="00EE760F"/>
    <w:rsid w:val="00EE7A57"/>
    <w:rsid w:val="00EE7C0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F20"/>
    <w:rsid w:val="00EF442B"/>
    <w:rsid w:val="00EF4775"/>
    <w:rsid w:val="00EF4837"/>
    <w:rsid w:val="00EF4C04"/>
    <w:rsid w:val="00EF51FC"/>
    <w:rsid w:val="00EF54E7"/>
    <w:rsid w:val="00EF5AB8"/>
    <w:rsid w:val="00EF5BE7"/>
    <w:rsid w:val="00EF5D7F"/>
    <w:rsid w:val="00EF5F1B"/>
    <w:rsid w:val="00EF6090"/>
    <w:rsid w:val="00EF6315"/>
    <w:rsid w:val="00EF66D0"/>
    <w:rsid w:val="00EF6E80"/>
    <w:rsid w:val="00EF7956"/>
    <w:rsid w:val="00EF7F60"/>
    <w:rsid w:val="00EF7FDB"/>
    <w:rsid w:val="00F00116"/>
    <w:rsid w:val="00F0034A"/>
    <w:rsid w:val="00F00669"/>
    <w:rsid w:val="00F00670"/>
    <w:rsid w:val="00F0069D"/>
    <w:rsid w:val="00F00A3A"/>
    <w:rsid w:val="00F00B2D"/>
    <w:rsid w:val="00F00C08"/>
    <w:rsid w:val="00F0111D"/>
    <w:rsid w:val="00F01ABB"/>
    <w:rsid w:val="00F01F5F"/>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CF"/>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D59"/>
    <w:rsid w:val="00F14FB1"/>
    <w:rsid w:val="00F14FF3"/>
    <w:rsid w:val="00F1567A"/>
    <w:rsid w:val="00F15DD8"/>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76"/>
    <w:rsid w:val="00F26E53"/>
    <w:rsid w:val="00F27025"/>
    <w:rsid w:val="00F2758A"/>
    <w:rsid w:val="00F27674"/>
    <w:rsid w:val="00F27701"/>
    <w:rsid w:val="00F27AB5"/>
    <w:rsid w:val="00F27B20"/>
    <w:rsid w:val="00F27C1E"/>
    <w:rsid w:val="00F27E8A"/>
    <w:rsid w:val="00F30062"/>
    <w:rsid w:val="00F30257"/>
    <w:rsid w:val="00F303E8"/>
    <w:rsid w:val="00F30434"/>
    <w:rsid w:val="00F30554"/>
    <w:rsid w:val="00F30BC4"/>
    <w:rsid w:val="00F31018"/>
    <w:rsid w:val="00F31256"/>
    <w:rsid w:val="00F31913"/>
    <w:rsid w:val="00F31A41"/>
    <w:rsid w:val="00F32321"/>
    <w:rsid w:val="00F32C6E"/>
    <w:rsid w:val="00F32CB3"/>
    <w:rsid w:val="00F32E03"/>
    <w:rsid w:val="00F3319A"/>
    <w:rsid w:val="00F331DD"/>
    <w:rsid w:val="00F33771"/>
    <w:rsid w:val="00F33BD5"/>
    <w:rsid w:val="00F3404B"/>
    <w:rsid w:val="00F34054"/>
    <w:rsid w:val="00F340CC"/>
    <w:rsid w:val="00F34635"/>
    <w:rsid w:val="00F34A54"/>
    <w:rsid w:val="00F34E1A"/>
    <w:rsid w:val="00F34EA0"/>
    <w:rsid w:val="00F34F52"/>
    <w:rsid w:val="00F34F85"/>
    <w:rsid w:val="00F3505A"/>
    <w:rsid w:val="00F35669"/>
    <w:rsid w:val="00F36013"/>
    <w:rsid w:val="00F3641A"/>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F40"/>
    <w:rsid w:val="00F4511A"/>
    <w:rsid w:val="00F455DD"/>
    <w:rsid w:val="00F45C0E"/>
    <w:rsid w:val="00F45DB4"/>
    <w:rsid w:val="00F460FD"/>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44D"/>
    <w:rsid w:val="00F524D5"/>
    <w:rsid w:val="00F526B8"/>
    <w:rsid w:val="00F52BED"/>
    <w:rsid w:val="00F537D5"/>
    <w:rsid w:val="00F53C50"/>
    <w:rsid w:val="00F53EC2"/>
    <w:rsid w:val="00F54037"/>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245C"/>
    <w:rsid w:val="00F62B05"/>
    <w:rsid w:val="00F62BB6"/>
    <w:rsid w:val="00F62E11"/>
    <w:rsid w:val="00F63205"/>
    <w:rsid w:val="00F632A0"/>
    <w:rsid w:val="00F63DC2"/>
    <w:rsid w:val="00F64502"/>
    <w:rsid w:val="00F64C22"/>
    <w:rsid w:val="00F65473"/>
    <w:rsid w:val="00F65965"/>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362"/>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E57"/>
    <w:rsid w:val="00F75EA2"/>
    <w:rsid w:val="00F76D1F"/>
    <w:rsid w:val="00F76DD7"/>
    <w:rsid w:val="00F76F23"/>
    <w:rsid w:val="00F77061"/>
    <w:rsid w:val="00F776F4"/>
    <w:rsid w:val="00F77852"/>
    <w:rsid w:val="00F77A39"/>
    <w:rsid w:val="00F77B82"/>
    <w:rsid w:val="00F800CB"/>
    <w:rsid w:val="00F80535"/>
    <w:rsid w:val="00F8148A"/>
    <w:rsid w:val="00F814E9"/>
    <w:rsid w:val="00F81709"/>
    <w:rsid w:val="00F817FC"/>
    <w:rsid w:val="00F81AE4"/>
    <w:rsid w:val="00F81D7F"/>
    <w:rsid w:val="00F824B5"/>
    <w:rsid w:val="00F82545"/>
    <w:rsid w:val="00F82A32"/>
    <w:rsid w:val="00F82F11"/>
    <w:rsid w:val="00F82FE4"/>
    <w:rsid w:val="00F830F4"/>
    <w:rsid w:val="00F83523"/>
    <w:rsid w:val="00F837B5"/>
    <w:rsid w:val="00F837E8"/>
    <w:rsid w:val="00F83A89"/>
    <w:rsid w:val="00F83BB6"/>
    <w:rsid w:val="00F84230"/>
    <w:rsid w:val="00F84327"/>
    <w:rsid w:val="00F843CC"/>
    <w:rsid w:val="00F8488F"/>
    <w:rsid w:val="00F84984"/>
    <w:rsid w:val="00F849A5"/>
    <w:rsid w:val="00F84D5A"/>
    <w:rsid w:val="00F84EA9"/>
    <w:rsid w:val="00F8532B"/>
    <w:rsid w:val="00F85465"/>
    <w:rsid w:val="00F8547A"/>
    <w:rsid w:val="00F8575A"/>
    <w:rsid w:val="00F85F06"/>
    <w:rsid w:val="00F8639A"/>
    <w:rsid w:val="00F87307"/>
    <w:rsid w:val="00F874CB"/>
    <w:rsid w:val="00F876CA"/>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35E"/>
    <w:rsid w:val="00F9442C"/>
    <w:rsid w:val="00F944BD"/>
    <w:rsid w:val="00F946A1"/>
    <w:rsid w:val="00F94710"/>
    <w:rsid w:val="00F94A30"/>
    <w:rsid w:val="00F94C56"/>
    <w:rsid w:val="00F95082"/>
    <w:rsid w:val="00F95363"/>
    <w:rsid w:val="00F9543D"/>
    <w:rsid w:val="00F95B4E"/>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B22"/>
    <w:rsid w:val="00FA6BE1"/>
    <w:rsid w:val="00FA70D8"/>
    <w:rsid w:val="00FA74AE"/>
    <w:rsid w:val="00FA74C6"/>
    <w:rsid w:val="00FA7696"/>
    <w:rsid w:val="00FA7CDB"/>
    <w:rsid w:val="00FB0069"/>
    <w:rsid w:val="00FB03BA"/>
    <w:rsid w:val="00FB0832"/>
    <w:rsid w:val="00FB0B9C"/>
    <w:rsid w:val="00FB0BCD"/>
    <w:rsid w:val="00FB0D3B"/>
    <w:rsid w:val="00FB10CB"/>
    <w:rsid w:val="00FB130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FC"/>
    <w:rsid w:val="00FC59B4"/>
    <w:rsid w:val="00FC5FEF"/>
    <w:rsid w:val="00FC6050"/>
    <w:rsid w:val="00FC612F"/>
    <w:rsid w:val="00FC619A"/>
    <w:rsid w:val="00FC64D5"/>
    <w:rsid w:val="00FC67ED"/>
    <w:rsid w:val="00FC68E1"/>
    <w:rsid w:val="00FC6B25"/>
    <w:rsid w:val="00FC6CB7"/>
    <w:rsid w:val="00FC76EB"/>
    <w:rsid w:val="00FC77CB"/>
    <w:rsid w:val="00FC7810"/>
    <w:rsid w:val="00FC7982"/>
    <w:rsid w:val="00FC7AA0"/>
    <w:rsid w:val="00FC7FC6"/>
    <w:rsid w:val="00FD00C2"/>
    <w:rsid w:val="00FD04B3"/>
    <w:rsid w:val="00FD0A7F"/>
    <w:rsid w:val="00FD0AA7"/>
    <w:rsid w:val="00FD0CEA"/>
    <w:rsid w:val="00FD0D22"/>
    <w:rsid w:val="00FD0D9B"/>
    <w:rsid w:val="00FD0FAB"/>
    <w:rsid w:val="00FD1074"/>
    <w:rsid w:val="00FD119B"/>
    <w:rsid w:val="00FD1661"/>
    <w:rsid w:val="00FD1B97"/>
    <w:rsid w:val="00FD1D26"/>
    <w:rsid w:val="00FD1E48"/>
    <w:rsid w:val="00FD274A"/>
    <w:rsid w:val="00FD2E15"/>
    <w:rsid w:val="00FD324D"/>
    <w:rsid w:val="00FD360C"/>
    <w:rsid w:val="00FD3B55"/>
    <w:rsid w:val="00FD437B"/>
    <w:rsid w:val="00FD43A0"/>
    <w:rsid w:val="00FD4859"/>
    <w:rsid w:val="00FD515E"/>
    <w:rsid w:val="00FD54B0"/>
    <w:rsid w:val="00FD54F6"/>
    <w:rsid w:val="00FD5511"/>
    <w:rsid w:val="00FD576E"/>
    <w:rsid w:val="00FD5C39"/>
    <w:rsid w:val="00FD5C77"/>
    <w:rsid w:val="00FD6104"/>
    <w:rsid w:val="00FD6540"/>
    <w:rsid w:val="00FD6C64"/>
    <w:rsid w:val="00FD75BE"/>
    <w:rsid w:val="00FD7683"/>
    <w:rsid w:val="00FD76F5"/>
    <w:rsid w:val="00FD7DEE"/>
    <w:rsid w:val="00FD7FE6"/>
    <w:rsid w:val="00FE0389"/>
    <w:rsid w:val="00FE05B4"/>
    <w:rsid w:val="00FE0975"/>
    <w:rsid w:val="00FE0C3D"/>
    <w:rsid w:val="00FE0D02"/>
    <w:rsid w:val="00FE0E64"/>
    <w:rsid w:val="00FE11B7"/>
    <w:rsid w:val="00FE1350"/>
    <w:rsid w:val="00FE14A9"/>
    <w:rsid w:val="00FE1AC8"/>
    <w:rsid w:val="00FE1C57"/>
    <w:rsid w:val="00FE1E3A"/>
    <w:rsid w:val="00FE23C2"/>
    <w:rsid w:val="00FE26ED"/>
    <w:rsid w:val="00FE2B1B"/>
    <w:rsid w:val="00FE2BCC"/>
    <w:rsid w:val="00FE3089"/>
    <w:rsid w:val="00FE3112"/>
    <w:rsid w:val="00FE3674"/>
    <w:rsid w:val="00FE38F0"/>
    <w:rsid w:val="00FE40BD"/>
    <w:rsid w:val="00FE435D"/>
    <w:rsid w:val="00FE4419"/>
    <w:rsid w:val="00FE4687"/>
    <w:rsid w:val="00FE4743"/>
    <w:rsid w:val="00FE481E"/>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7F"/>
    <w:rsid w:val="00FF137E"/>
    <w:rsid w:val="00FF13A8"/>
    <w:rsid w:val="00FF14DA"/>
    <w:rsid w:val="00FF15B4"/>
    <w:rsid w:val="00FF182C"/>
    <w:rsid w:val="00FF1CA6"/>
    <w:rsid w:val="00FF26E1"/>
    <w:rsid w:val="00FF2804"/>
    <w:rsid w:val="00FF2A4E"/>
    <w:rsid w:val="00FF2BFF"/>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4E2"/>
    <w:rsid w:val="00FF678F"/>
    <w:rsid w:val="00FF6CD1"/>
    <w:rsid w:val="00FF6F59"/>
    <w:rsid w:val="00FF7077"/>
    <w:rsid w:val="00FF75FC"/>
    <w:rsid w:val="00FF7A60"/>
    <w:rsid w:val="00FF7A90"/>
    <w:rsid w:val="00FF7E4D"/>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8F1416"/>
    <w:rsid w:val="019E1D4A"/>
    <w:rsid w:val="01AB094A"/>
    <w:rsid w:val="01AE21DC"/>
    <w:rsid w:val="01B306E4"/>
    <w:rsid w:val="01D27A5F"/>
    <w:rsid w:val="01DF44FB"/>
    <w:rsid w:val="01F37365"/>
    <w:rsid w:val="02004B2C"/>
    <w:rsid w:val="0201766A"/>
    <w:rsid w:val="02035721"/>
    <w:rsid w:val="02151F95"/>
    <w:rsid w:val="02211A0E"/>
    <w:rsid w:val="022A4AA1"/>
    <w:rsid w:val="022E47B0"/>
    <w:rsid w:val="023D4739"/>
    <w:rsid w:val="02554599"/>
    <w:rsid w:val="02554999"/>
    <w:rsid w:val="02565169"/>
    <w:rsid w:val="02574326"/>
    <w:rsid w:val="025B75F9"/>
    <w:rsid w:val="026A3596"/>
    <w:rsid w:val="026C0DE0"/>
    <w:rsid w:val="02720839"/>
    <w:rsid w:val="02762CB4"/>
    <w:rsid w:val="02767EF6"/>
    <w:rsid w:val="02827220"/>
    <w:rsid w:val="029B47FF"/>
    <w:rsid w:val="02A461E0"/>
    <w:rsid w:val="02B34E07"/>
    <w:rsid w:val="02C40A2A"/>
    <w:rsid w:val="02C93D1E"/>
    <w:rsid w:val="02D472A2"/>
    <w:rsid w:val="02DC5D29"/>
    <w:rsid w:val="02E818F1"/>
    <w:rsid w:val="02EE6889"/>
    <w:rsid w:val="02F15DA2"/>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E2B70"/>
    <w:rsid w:val="03B21B06"/>
    <w:rsid w:val="03B6607F"/>
    <w:rsid w:val="03BB3F8C"/>
    <w:rsid w:val="03C200B6"/>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82356"/>
    <w:rsid w:val="064244D9"/>
    <w:rsid w:val="06511ACC"/>
    <w:rsid w:val="06564BA4"/>
    <w:rsid w:val="066A602E"/>
    <w:rsid w:val="067751BD"/>
    <w:rsid w:val="06A11B02"/>
    <w:rsid w:val="06BA6ABF"/>
    <w:rsid w:val="06C62058"/>
    <w:rsid w:val="06CF7159"/>
    <w:rsid w:val="06D32D7E"/>
    <w:rsid w:val="06E21138"/>
    <w:rsid w:val="06E64C63"/>
    <w:rsid w:val="06F24EF2"/>
    <w:rsid w:val="06FD40DB"/>
    <w:rsid w:val="07082E19"/>
    <w:rsid w:val="071C09FC"/>
    <w:rsid w:val="07437B7C"/>
    <w:rsid w:val="07470651"/>
    <w:rsid w:val="074F79E7"/>
    <w:rsid w:val="07565B77"/>
    <w:rsid w:val="075815C4"/>
    <w:rsid w:val="075960B3"/>
    <w:rsid w:val="078A01E7"/>
    <w:rsid w:val="078A415E"/>
    <w:rsid w:val="07934010"/>
    <w:rsid w:val="079D12CF"/>
    <w:rsid w:val="07A46BE4"/>
    <w:rsid w:val="07AE7932"/>
    <w:rsid w:val="07B814E5"/>
    <w:rsid w:val="07C25F74"/>
    <w:rsid w:val="07D013A8"/>
    <w:rsid w:val="07D648D8"/>
    <w:rsid w:val="07E22A7A"/>
    <w:rsid w:val="07F8491F"/>
    <w:rsid w:val="07FB29C2"/>
    <w:rsid w:val="07FD44E9"/>
    <w:rsid w:val="08042FBA"/>
    <w:rsid w:val="0805407D"/>
    <w:rsid w:val="080E66E4"/>
    <w:rsid w:val="08127126"/>
    <w:rsid w:val="08132E8B"/>
    <w:rsid w:val="081467CE"/>
    <w:rsid w:val="081D0E45"/>
    <w:rsid w:val="081D706E"/>
    <w:rsid w:val="08253679"/>
    <w:rsid w:val="0829358F"/>
    <w:rsid w:val="083D716A"/>
    <w:rsid w:val="084B79E5"/>
    <w:rsid w:val="085A74A5"/>
    <w:rsid w:val="085D519A"/>
    <w:rsid w:val="086378F2"/>
    <w:rsid w:val="086D1BC3"/>
    <w:rsid w:val="08706B4B"/>
    <w:rsid w:val="088A1CFB"/>
    <w:rsid w:val="088B79C8"/>
    <w:rsid w:val="08917913"/>
    <w:rsid w:val="08A43A02"/>
    <w:rsid w:val="08CC1330"/>
    <w:rsid w:val="08CE61CB"/>
    <w:rsid w:val="08D2064E"/>
    <w:rsid w:val="08F44BC5"/>
    <w:rsid w:val="08FA203B"/>
    <w:rsid w:val="090515DA"/>
    <w:rsid w:val="0918370E"/>
    <w:rsid w:val="093512F4"/>
    <w:rsid w:val="093A1D12"/>
    <w:rsid w:val="094706FF"/>
    <w:rsid w:val="094B14E7"/>
    <w:rsid w:val="095017F1"/>
    <w:rsid w:val="09513804"/>
    <w:rsid w:val="095256C8"/>
    <w:rsid w:val="09664D4F"/>
    <w:rsid w:val="09984675"/>
    <w:rsid w:val="09AB29D4"/>
    <w:rsid w:val="09BC33E9"/>
    <w:rsid w:val="09C63A15"/>
    <w:rsid w:val="09DE356F"/>
    <w:rsid w:val="0A0518AB"/>
    <w:rsid w:val="0A0D50DF"/>
    <w:rsid w:val="0A17229C"/>
    <w:rsid w:val="0A245887"/>
    <w:rsid w:val="0A32370E"/>
    <w:rsid w:val="0A3247B9"/>
    <w:rsid w:val="0A3376ED"/>
    <w:rsid w:val="0A585A2D"/>
    <w:rsid w:val="0A594E3E"/>
    <w:rsid w:val="0A5C144D"/>
    <w:rsid w:val="0A5C768D"/>
    <w:rsid w:val="0A6B68D5"/>
    <w:rsid w:val="0A6F50FD"/>
    <w:rsid w:val="0A722E39"/>
    <w:rsid w:val="0A934843"/>
    <w:rsid w:val="0A980D85"/>
    <w:rsid w:val="0A997081"/>
    <w:rsid w:val="0A9E4A8D"/>
    <w:rsid w:val="0A9F2012"/>
    <w:rsid w:val="0AA42F1E"/>
    <w:rsid w:val="0AAA6D9C"/>
    <w:rsid w:val="0AB15DD5"/>
    <w:rsid w:val="0AB53627"/>
    <w:rsid w:val="0AB6376C"/>
    <w:rsid w:val="0AC66CF8"/>
    <w:rsid w:val="0ACC23F3"/>
    <w:rsid w:val="0ACD79BF"/>
    <w:rsid w:val="0ACE1EAB"/>
    <w:rsid w:val="0AD26326"/>
    <w:rsid w:val="0AD95B34"/>
    <w:rsid w:val="0AE1593F"/>
    <w:rsid w:val="0AE57C7B"/>
    <w:rsid w:val="0AE65CB9"/>
    <w:rsid w:val="0AE71F9A"/>
    <w:rsid w:val="0AE96B11"/>
    <w:rsid w:val="0AFD09EB"/>
    <w:rsid w:val="0AFF05E6"/>
    <w:rsid w:val="0B07538C"/>
    <w:rsid w:val="0B0F3E64"/>
    <w:rsid w:val="0B1A274D"/>
    <w:rsid w:val="0B227BC7"/>
    <w:rsid w:val="0B254ED4"/>
    <w:rsid w:val="0B2E5D46"/>
    <w:rsid w:val="0B3A4E5B"/>
    <w:rsid w:val="0B536C32"/>
    <w:rsid w:val="0B561059"/>
    <w:rsid w:val="0B5823AA"/>
    <w:rsid w:val="0B595FAD"/>
    <w:rsid w:val="0B5A2F4E"/>
    <w:rsid w:val="0B6E0FF5"/>
    <w:rsid w:val="0B773945"/>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C005070"/>
    <w:rsid w:val="0C195365"/>
    <w:rsid w:val="0C1A6BD3"/>
    <w:rsid w:val="0C1D70C9"/>
    <w:rsid w:val="0C266D9C"/>
    <w:rsid w:val="0C6F4E58"/>
    <w:rsid w:val="0C76751C"/>
    <w:rsid w:val="0C9E5B83"/>
    <w:rsid w:val="0CBD7CE0"/>
    <w:rsid w:val="0CFB1DB9"/>
    <w:rsid w:val="0D103D70"/>
    <w:rsid w:val="0D1C1B50"/>
    <w:rsid w:val="0D220294"/>
    <w:rsid w:val="0D283356"/>
    <w:rsid w:val="0D3A4A42"/>
    <w:rsid w:val="0D413ECD"/>
    <w:rsid w:val="0D5773D6"/>
    <w:rsid w:val="0D594DB6"/>
    <w:rsid w:val="0D632B1E"/>
    <w:rsid w:val="0D6E771D"/>
    <w:rsid w:val="0D7D7848"/>
    <w:rsid w:val="0D80206A"/>
    <w:rsid w:val="0D8E173E"/>
    <w:rsid w:val="0DA10A04"/>
    <w:rsid w:val="0DAB37C5"/>
    <w:rsid w:val="0DD74FA9"/>
    <w:rsid w:val="0DF13B47"/>
    <w:rsid w:val="0E0A5187"/>
    <w:rsid w:val="0E332166"/>
    <w:rsid w:val="0E3917FF"/>
    <w:rsid w:val="0E4B4C91"/>
    <w:rsid w:val="0E4D5766"/>
    <w:rsid w:val="0E613656"/>
    <w:rsid w:val="0E633F79"/>
    <w:rsid w:val="0E72787E"/>
    <w:rsid w:val="0E86024B"/>
    <w:rsid w:val="0E8645C8"/>
    <w:rsid w:val="0E9F5739"/>
    <w:rsid w:val="0E9F7159"/>
    <w:rsid w:val="0EB37BB2"/>
    <w:rsid w:val="0EC3008E"/>
    <w:rsid w:val="0EC5059A"/>
    <w:rsid w:val="0ED9547E"/>
    <w:rsid w:val="0EDB339F"/>
    <w:rsid w:val="0EF10F2E"/>
    <w:rsid w:val="0EF53E39"/>
    <w:rsid w:val="0F1155E2"/>
    <w:rsid w:val="0F125211"/>
    <w:rsid w:val="0F152A9D"/>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16B6A"/>
    <w:rsid w:val="0F82210C"/>
    <w:rsid w:val="0F950757"/>
    <w:rsid w:val="0FA023BF"/>
    <w:rsid w:val="0FA36B70"/>
    <w:rsid w:val="0FA36D3D"/>
    <w:rsid w:val="0FA37671"/>
    <w:rsid w:val="0FAC2C6D"/>
    <w:rsid w:val="0FB70395"/>
    <w:rsid w:val="0FBA4112"/>
    <w:rsid w:val="0FBB10D0"/>
    <w:rsid w:val="0FC96156"/>
    <w:rsid w:val="0FDA6A10"/>
    <w:rsid w:val="0FE473BA"/>
    <w:rsid w:val="0FEC2D9A"/>
    <w:rsid w:val="10014099"/>
    <w:rsid w:val="10040C3F"/>
    <w:rsid w:val="100A0456"/>
    <w:rsid w:val="100B59FA"/>
    <w:rsid w:val="10110CDB"/>
    <w:rsid w:val="101C28C6"/>
    <w:rsid w:val="10206D1E"/>
    <w:rsid w:val="10211C2E"/>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85CE4"/>
    <w:rsid w:val="10A27296"/>
    <w:rsid w:val="10A32DF1"/>
    <w:rsid w:val="10A45B57"/>
    <w:rsid w:val="10A50D79"/>
    <w:rsid w:val="10AB24DF"/>
    <w:rsid w:val="10BC2AE5"/>
    <w:rsid w:val="10D42E50"/>
    <w:rsid w:val="10D653BA"/>
    <w:rsid w:val="10DB6356"/>
    <w:rsid w:val="10EF5ED1"/>
    <w:rsid w:val="10F2465E"/>
    <w:rsid w:val="10F42936"/>
    <w:rsid w:val="10FA231C"/>
    <w:rsid w:val="112A5200"/>
    <w:rsid w:val="112B7604"/>
    <w:rsid w:val="11306888"/>
    <w:rsid w:val="1132026E"/>
    <w:rsid w:val="1168799E"/>
    <w:rsid w:val="11885738"/>
    <w:rsid w:val="118A295D"/>
    <w:rsid w:val="118B5FDD"/>
    <w:rsid w:val="119569CB"/>
    <w:rsid w:val="11A10C39"/>
    <w:rsid w:val="11A64DBC"/>
    <w:rsid w:val="11AD59AB"/>
    <w:rsid w:val="11AF324A"/>
    <w:rsid w:val="11B31B1D"/>
    <w:rsid w:val="11B814E6"/>
    <w:rsid w:val="11BE6CAE"/>
    <w:rsid w:val="11C557B7"/>
    <w:rsid w:val="11FA160D"/>
    <w:rsid w:val="1228310E"/>
    <w:rsid w:val="122C565F"/>
    <w:rsid w:val="12313D6F"/>
    <w:rsid w:val="12325B1D"/>
    <w:rsid w:val="1244691E"/>
    <w:rsid w:val="1251591B"/>
    <w:rsid w:val="12610602"/>
    <w:rsid w:val="126210D5"/>
    <w:rsid w:val="126B461E"/>
    <w:rsid w:val="126F7AC0"/>
    <w:rsid w:val="1270704D"/>
    <w:rsid w:val="127D72F2"/>
    <w:rsid w:val="12817CB1"/>
    <w:rsid w:val="128D0509"/>
    <w:rsid w:val="128F7C36"/>
    <w:rsid w:val="12960440"/>
    <w:rsid w:val="12A908D3"/>
    <w:rsid w:val="12AA7F02"/>
    <w:rsid w:val="12B31A9B"/>
    <w:rsid w:val="12B359F6"/>
    <w:rsid w:val="12B47253"/>
    <w:rsid w:val="12C14396"/>
    <w:rsid w:val="12DE33CA"/>
    <w:rsid w:val="12F83AAE"/>
    <w:rsid w:val="12FC274E"/>
    <w:rsid w:val="12FF52DE"/>
    <w:rsid w:val="13030235"/>
    <w:rsid w:val="13063F94"/>
    <w:rsid w:val="131A1EB8"/>
    <w:rsid w:val="131D547C"/>
    <w:rsid w:val="13344C16"/>
    <w:rsid w:val="13400A22"/>
    <w:rsid w:val="1343505A"/>
    <w:rsid w:val="134546AC"/>
    <w:rsid w:val="13544A6B"/>
    <w:rsid w:val="13596CEC"/>
    <w:rsid w:val="1359756C"/>
    <w:rsid w:val="135C3AB9"/>
    <w:rsid w:val="136B08B3"/>
    <w:rsid w:val="13744B61"/>
    <w:rsid w:val="137A40BD"/>
    <w:rsid w:val="138F4ADA"/>
    <w:rsid w:val="13910B1E"/>
    <w:rsid w:val="1392098C"/>
    <w:rsid w:val="13B563DA"/>
    <w:rsid w:val="13B772BD"/>
    <w:rsid w:val="13BC4080"/>
    <w:rsid w:val="13BD31AB"/>
    <w:rsid w:val="13C1348F"/>
    <w:rsid w:val="13CD27B6"/>
    <w:rsid w:val="13E022AE"/>
    <w:rsid w:val="13E532CA"/>
    <w:rsid w:val="13ED0B0B"/>
    <w:rsid w:val="13ED7D7F"/>
    <w:rsid w:val="13F03755"/>
    <w:rsid w:val="13F96221"/>
    <w:rsid w:val="14007100"/>
    <w:rsid w:val="14041834"/>
    <w:rsid w:val="140C178D"/>
    <w:rsid w:val="14142D39"/>
    <w:rsid w:val="14145A78"/>
    <w:rsid w:val="14176353"/>
    <w:rsid w:val="141F7FB3"/>
    <w:rsid w:val="14242FDA"/>
    <w:rsid w:val="142D67FD"/>
    <w:rsid w:val="14436E72"/>
    <w:rsid w:val="144F55C3"/>
    <w:rsid w:val="1450322B"/>
    <w:rsid w:val="14547E86"/>
    <w:rsid w:val="14637D36"/>
    <w:rsid w:val="146B2919"/>
    <w:rsid w:val="14775F02"/>
    <w:rsid w:val="147C2A02"/>
    <w:rsid w:val="147E33CA"/>
    <w:rsid w:val="1487373C"/>
    <w:rsid w:val="14880C3A"/>
    <w:rsid w:val="14960C1B"/>
    <w:rsid w:val="14B0700C"/>
    <w:rsid w:val="14BE42CF"/>
    <w:rsid w:val="14C02505"/>
    <w:rsid w:val="14C10602"/>
    <w:rsid w:val="14C34089"/>
    <w:rsid w:val="14DA25EE"/>
    <w:rsid w:val="14DB33FC"/>
    <w:rsid w:val="14DD38E5"/>
    <w:rsid w:val="14DE0AFC"/>
    <w:rsid w:val="14E7787F"/>
    <w:rsid w:val="14F44F2E"/>
    <w:rsid w:val="15065137"/>
    <w:rsid w:val="150B2214"/>
    <w:rsid w:val="15113E7B"/>
    <w:rsid w:val="15205ED3"/>
    <w:rsid w:val="15416178"/>
    <w:rsid w:val="1561603B"/>
    <w:rsid w:val="15690DB0"/>
    <w:rsid w:val="156E7972"/>
    <w:rsid w:val="157463C1"/>
    <w:rsid w:val="157E6456"/>
    <w:rsid w:val="15831360"/>
    <w:rsid w:val="158F48E5"/>
    <w:rsid w:val="15AB06A9"/>
    <w:rsid w:val="15C72B5F"/>
    <w:rsid w:val="15C94A90"/>
    <w:rsid w:val="15D74588"/>
    <w:rsid w:val="15E352BE"/>
    <w:rsid w:val="15EB4378"/>
    <w:rsid w:val="15FB4E72"/>
    <w:rsid w:val="160B185E"/>
    <w:rsid w:val="16106849"/>
    <w:rsid w:val="16142093"/>
    <w:rsid w:val="1628036C"/>
    <w:rsid w:val="16435A3F"/>
    <w:rsid w:val="164E6878"/>
    <w:rsid w:val="165E0F0A"/>
    <w:rsid w:val="16702D89"/>
    <w:rsid w:val="16704155"/>
    <w:rsid w:val="16721938"/>
    <w:rsid w:val="16796F0F"/>
    <w:rsid w:val="1688556A"/>
    <w:rsid w:val="169839BA"/>
    <w:rsid w:val="169D05F3"/>
    <w:rsid w:val="16A00FDF"/>
    <w:rsid w:val="16A32AAC"/>
    <w:rsid w:val="16A470C1"/>
    <w:rsid w:val="16AF0615"/>
    <w:rsid w:val="16B13FB1"/>
    <w:rsid w:val="16BD0B49"/>
    <w:rsid w:val="16D50CFC"/>
    <w:rsid w:val="16E33AB3"/>
    <w:rsid w:val="16EB76EF"/>
    <w:rsid w:val="16F1418C"/>
    <w:rsid w:val="16FF0792"/>
    <w:rsid w:val="17141C1D"/>
    <w:rsid w:val="171B0546"/>
    <w:rsid w:val="17283764"/>
    <w:rsid w:val="17304A49"/>
    <w:rsid w:val="173353C2"/>
    <w:rsid w:val="174224E7"/>
    <w:rsid w:val="17493381"/>
    <w:rsid w:val="174C5C47"/>
    <w:rsid w:val="176355E5"/>
    <w:rsid w:val="176A51F7"/>
    <w:rsid w:val="17831475"/>
    <w:rsid w:val="178359D2"/>
    <w:rsid w:val="17874ED3"/>
    <w:rsid w:val="17886A2C"/>
    <w:rsid w:val="178F26E7"/>
    <w:rsid w:val="178F77F8"/>
    <w:rsid w:val="17966843"/>
    <w:rsid w:val="17A9660F"/>
    <w:rsid w:val="17C33EF7"/>
    <w:rsid w:val="17D04B6E"/>
    <w:rsid w:val="17D80F4C"/>
    <w:rsid w:val="17E14521"/>
    <w:rsid w:val="17EA61AE"/>
    <w:rsid w:val="18002CEE"/>
    <w:rsid w:val="180414A0"/>
    <w:rsid w:val="18077070"/>
    <w:rsid w:val="18117661"/>
    <w:rsid w:val="182307A2"/>
    <w:rsid w:val="184840C9"/>
    <w:rsid w:val="18523ADE"/>
    <w:rsid w:val="18660CD4"/>
    <w:rsid w:val="1866694B"/>
    <w:rsid w:val="186C1ACE"/>
    <w:rsid w:val="1884015D"/>
    <w:rsid w:val="18890477"/>
    <w:rsid w:val="188C5B30"/>
    <w:rsid w:val="188C6C7D"/>
    <w:rsid w:val="18960812"/>
    <w:rsid w:val="189C7EF6"/>
    <w:rsid w:val="18B04B4D"/>
    <w:rsid w:val="18B04EB7"/>
    <w:rsid w:val="18B119EB"/>
    <w:rsid w:val="18C5316D"/>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D1732F"/>
    <w:rsid w:val="19D842E3"/>
    <w:rsid w:val="19E502ED"/>
    <w:rsid w:val="19F92180"/>
    <w:rsid w:val="1A001213"/>
    <w:rsid w:val="1A0D4248"/>
    <w:rsid w:val="1A200A74"/>
    <w:rsid w:val="1A224DDA"/>
    <w:rsid w:val="1A2619C2"/>
    <w:rsid w:val="1A273DF6"/>
    <w:rsid w:val="1A2F2398"/>
    <w:rsid w:val="1A3055B8"/>
    <w:rsid w:val="1A5655AF"/>
    <w:rsid w:val="1A581194"/>
    <w:rsid w:val="1A5F508B"/>
    <w:rsid w:val="1A69797C"/>
    <w:rsid w:val="1A6B5CD7"/>
    <w:rsid w:val="1A98475D"/>
    <w:rsid w:val="1A9B675D"/>
    <w:rsid w:val="1AA31400"/>
    <w:rsid w:val="1AD153DF"/>
    <w:rsid w:val="1AD36372"/>
    <w:rsid w:val="1AD66584"/>
    <w:rsid w:val="1ADE3E70"/>
    <w:rsid w:val="1AE032B7"/>
    <w:rsid w:val="1AE42348"/>
    <w:rsid w:val="1AE5004C"/>
    <w:rsid w:val="1AF2383D"/>
    <w:rsid w:val="1B012875"/>
    <w:rsid w:val="1B157C1A"/>
    <w:rsid w:val="1B1A6E4B"/>
    <w:rsid w:val="1B203049"/>
    <w:rsid w:val="1B211C8A"/>
    <w:rsid w:val="1B2C2234"/>
    <w:rsid w:val="1B325062"/>
    <w:rsid w:val="1B36456A"/>
    <w:rsid w:val="1B3C7045"/>
    <w:rsid w:val="1B572C7F"/>
    <w:rsid w:val="1B5734B2"/>
    <w:rsid w:val="1B60050A"/>
    <w:rsid w:val="1B741EAE"/>
    <w:rsid w:val="1B99173F"/>
    <w:rsid w:val="1B9E5782"/>
    <w:rsid w:val="1B9F2F5B"/>
    <w:rsid w:val="1BA31D38"/>
    <w:rsid w:val="1BAD0A5E"/>
    <w:rsid w:val="1BB15A38"/>
    <w:rsid w:val="1BB32D92"/>
    <w:rsid w:val="1BCA4E13"/>
    <w:rsid w:val="1BD238BF"/>
    <w:rsid w:val="1BD93E58"/>
    <w:rsid w:val="1BE50CEC"/>
    <w:rsid w:val="1BE75134"/>
    <w:rsid w:val="1BEB39AC"/>
    <w:rsid w:val="1BFA36C9"/>
    <w:rsid w:val="1C037418"/>
    <w:rsid w:val="1C19757C"/>
    <w:rsid w:val="1C3C5A93"/>
    <w:rsid w:val="1C3D2E04"/>
    <w:rsid w:val="1C3D5C01"/>
    <w:rsid w:val="1C4811FB"/>
    <w:rsid w:val="1C4852DE"/>
    <w:rsid w:val="1C4D45E0"/>
    <w:rsid w:val="1C512857"/>
    <w:rsid w:val="1C5276D3"/>
    <w:rsid w:val="1C643148"/>
    <w:rsid w:val="1C7046F1"/>
    <w:rsid w:val="1C7E73CF"/>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5582C"/>
    <w:rsid w:val="1DBC1C44"/>
    <w:rsid w:val="1DCA4CD3"/>
    <w:rsid w:val="1DCC2895"/>
    <w:rsid w:val="1DD222AA"/>
    <w:rsid w:val="1DD4692F"/>
    <w:rsid w:val="1DF24DA6"/>
    <w:rsid w:val="1DF43659"/>
    <w:rsid w:val="1DFC21EE"/>
    <w:rsid w:val="1E096FC1"/>
    <w:rsid w:val="1E0E4DD7"/>
    <w:rsid w:val="1E1159C0"/>
    <w:rsid w:val="1E350FE6"/>
    <w:rsid w:val="1E383808"/>
    <w:rsid w:val="1E4473F8"/>
    <w:rsid w:val="1E490459"/>
    <w:rsid w:val="1E50751B"/>
    <w:rsid w:val="1E545B82"/>
    <w:rsid w:val="1E6447CF"/>
    <w:rsid w:val="1E6D1C74"/>
    <w:rsid w:val="1E736E4E"/>
    <w:rsid w:val="1E7E5EB1"/>
    <w:rsid w:val="1E9304A1"/>
    <w:rsid w:val="1E9B048D"/>
    <w:rsid w:val="1EA61B83"/>
    <w:rsid w:val="1EA82227"/>
    <w:rsid w:val="1EAD188D"/>
    <w:rsid w:val="1EB23EB8"/>
    <w:rsid w:val="1EB61A3A"/>
    <w:rsid w:val="1EB74545"/>
    <w:rsid w:val="1EBD1356"/>
    <w:rsid w:val="1EBF31D2"/>
    <w:rsid w:val="1EDC2551"/>
    <w:rsid w:val="1EF23920"/>
    <w:rsid w:val="1EF80396"/>
    <w:rsid w:val="1F025038"/>
    <w:rsid w:val="1F032AB6"/>
    <w:rsid w:val="1F06550F"/>
    <w:rsid w:val="1F1C29EF"/>
    <w:rsid w:val="1F234826"/>
    <w:rsid w:val="1F31645A"/>
    <w:rsid w:val="1F3B0B82"/>
    <w:rsid w:val="1F4773C4"/>
    <w:rsid w:val="1F490531"/>
    <w:rsid w:val="1F4934E4"/>
    <w:rsid w:val="1F4C44D7"/>
    <w:rsid w:val="1F517BAC"/>
    <w:rsid w:val="1F5C56B9"/>
    <w:rsid w:val="1F5E0D38"/>
    <w:rsid w:val="1F5F4414"/>
    <w:rsid w:val="1F637F58"/>
    <w:rsid w:val="1F826970"/>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F3B23"/>
    <w:rsid w:val="201967D7"/>
    <w:rsid w:val="20374786"/>
    <w:rsid w:val="2039386F"/>
    <w:rsid w:val="204652BA"/>
    <w:rsid w:val="204C3A64"/>
    <w:rsid w:val="20601C10"/>
    <w:rsid w:val="2068761A"/>
    <w:rsid w:val="20757C7B"/>
    <w:rsid w:val="20934821"/>
    <w:rsid w:val="20A13861"/>
    <w:rsid w:val="20A1469C"/>
    <w:rsid w:val="20A73604"/>
    <w:rsid w:val="20BB0C31"/>
    <w:rsid w:val="20C66D8E"/>
    <w:rsid w:val="20CF37FC"/>
    <w:rsid w:val="20D717F3"/>
    <w:rsid w:val="20E02D05"/>
    <w:rsid w:val="20E174BD"/>
    <w:rsid w:val="20F01565"/>
    <w:rsid w:val="20F12135"/>
    <w:rsid w:val="20F90AAC"/>
    <w:rsid w:val="20FA405B"/>
    <w:rsid w:val="20FE0B65"/>
    <w:rsid w:val="21041267"/>
    <w:rsid w:val="212B616E"/>
    <w:rsid w:val="213121BA"/>
    <w:rsid w:val="21326410"/>
    <w:rsid w:val="214A2960"/>
    <w:rsid w:val="214D20D4"/>
    <w:rsid w:val="215302B9"/>
    <w:rsid w:val="215670DE"/>
    <w:rsid w:val="217102B7"/>
    <w:rsid w:val="2183462B"/>
    <w:rsid w:val="218E4A09"/>
    <w:rsid w:val="218E6399"/>
    <w:rsid w:val="219C6DDD"/>
    <w:rsid w:val="21A65C3E"/>
    <w:rsid w:val="21BB2F28"/>
    <w:rsid w:val="21DF3292"/>
    <w:rsid w:val="21DF71DE"/>
    <w:rsid w:val="21FE4E4A"/>
    <w:rsid w:val="22111157"/>
    <w:rsid w:val="2226397C"/>
    <w:rsid w:val="2229623B"/>
    <w:rsid w:val="223A67A6"/>
    <w:rsid w:val="22477192"/>
    <w:rsid w:val="224C2951"/>
    <w:rsid w:val="22505840"/>
    <w:rsid w:val="2252126E"/>
    <w:rsid w:val="22762010"/>
    <w:rsid w:val="2276233E"/>
    <w:rsid w:val="227A54E3"/>
    <w:rsid w:val="22865CFC"/>
    <w:rsid w:val="228738BF"/>
    <w:rsid w:val="22964C60"/>
    <w:rsid w:val="22B0505D"/>
    <w:rsid w:val="22BA31B9"/>
    <w:rsid w:val="22BD3256"/>
    <w:rsid w:val="22BD4E7D"/>
    <w:rsid w:val="22D07449"/>
    <w:rsid w:val="22E40F3D"/>
    <w:rsid w:val="22FC6881"/>
    <w:rsid w:val="230B248C"/>
    <w:rsid w:val="231847B8"/>
    <w:rsid w:val="231E3ED2"/>
    <w:rsid w:val="23245E3C"/>
    <w:rsid w:val="23304ABE"/>
    <w:rsid w:val="234421C7"/>
    <w:rsid w:val="234D61BE"/>
    <w:rsid w:val="23500A60"/>
    <w:rsid w:val="23537C14"/>
    <w:rsid w:val="235807FE"/>
    <w:rsid w:val="2362645B"/>
    <w:rsid w:val="236E0B9E"/>
    <w:rsid w:val="23700EEA"/>
    <w:rsid w:val="2373688C"/>
    <w:rsid w:val="237C41A0"/>
    <w:rsid w:val="238C42D2"/>
    <w:rsid w:val="23912F5D"/>
    <w:rsid w:val="2393048F"/>
    <w:rsid w:val="239E3C8F"/>
    <w:rsid w:val="23A06B4E"/>
    <w:rsid w:val="23A40CCF"/>
    <w:rsid w:val="23A52134"/>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B346B5"/>
    <w:rsid w:val="24B606B7"/>
    <w:rsid w:val="24D92A69"/>
    <w:rsid w:val="24EC3BCA"/>
    <w:rsid w:val="24EC4ADF"/>
    <w:rsid w:val="24EF6448"/>
    <w:rsid w:val="24F71B8F"/>
    <w:rsid w:val="24F92CDE"/>
    <w:rsid w:val="250A2221"/>
    <w:rsid w:val="250C0B5D"/>
    <w:rsid w:val="251D528F"/>
    <w:rsid w:val="252129A2"/>
    <w:rsid w:val="2526703C"/>
    <w:rsid w:val="25335BFF"/>
    <w:rsid w:val="25353A77"/>
    <w:rsid w:val="253D4E51"/>
    <w:rsid w:val="25462DA6"/>
    <w:rsid w:val="255E002A"/>
    <w:rsid w:val="25893EFE"/>
    <w:rsid w:val="2598706E"/>
    <w:rsid w:val="25A115C9"/>
    <w:rsid w:val="25B02203"/>
    <w:rsid w:val="25B35E6A"/>
    <w:rsid w:val="25BE6749"/>
    <w:rsid w:val="25DE0185"/>
    <w:rsid w:val="25E04003"/>
    <w:rsid w:val="25EE6875"/>
    <w:rsid w:val="25F86534"/>
    <w:rsid w:val="26056FD7"/>
    <w:rsid w:val="260C334C"/>
    <w:rsid w:val="260C5700"/>
    <w:rsid w:val="26276BC7"/>
    <w:rsid w:val="262E1EAD"/>
    <w:rsid w:val="263878CF"/>
    <w:rsid w:val="26412189"/>
    <w:rsid w:val="26517452"/>
    <w:rsid w:val="26566E1C"/>
    <w:rsid w:val="26613FB9"/>
    <w:rsid w:val="2679079E"/>
    <w:rsid w:val="268120E0"/>
    <w:rsid w:val="268B4EFD"/>
    <w:rsid w:val="269F3FC9"/>
    <w:rsid w:val="26A10A64"/>
    <w:rsid w:val="26A24282"/>
    <w:rsid w:val="26A84F52"/>
    <w:rsid w:val="26BB6790"/>
    <w:rsid w:val="26C84C3F"/>
    <w:rsid w:val="26CA39FA"/>
    <w:rsid w:val="26D85E33"/>
    <w:rsid w:val="26DB2072"/>
    <w:rsid w:val="270A0CB9"/>
    <w:rsid w:val="270B4A30"/>
    <w:rsid w:val="270F1235"/>
    <w:rsid w:val="27154206"/>
    <w:rsid w:val="271D238B"/>
    <w:rsid w:val="272A62FD"/>
    <w:rsid w:val="273460AC"/>
    <w:rsid w:val="2737495D"/>
    <w:rsid w:val="273E42CE"/>
    <w:rsid w:val="274E64D1"/>
    <w:rsid w:val="2784424C"/>
    <w:rsid w:val="27862FAB"/>
    <w:rsid w:val="278F67DD"/>
    <w:rsid w:val="27B3345D"/>
    <w:rsid w:val="27B778B7"/>
    <w:rsid w:val="27CE4805"/>
    <w:rsid w:val="27D32862"/>
    <w:rsid w:val="27DC01C9"/>
    <w:rsid w:val="27E24B4A"/>
    <w:rsid w:val="27E53287"/>
    <w:rsid w:val="27E8590F"/>
    <w:rsid w:val="27EA6D62"/>
    <w:rsid w:val="28151DED"/>
    <w:rsid w:val="28300784"/>
    <w:rsid w:val="28316877"/>
    <w:rsid w:val="283A1513"/>
    <w:rsid w:val="283D77DD"/>
    <w:rsid w:val="283F2A39"/>
    <w:rsid w:val="286260C3"/>
    <w:rsid w:val="28630E79"/>
    <w:rsid w:val="286C4BBC"/>
    <w:rsid w:val="289E6725"/>
    <w:rsid w:val="28A2337A"/>
    <w:rsid w:val="28A83323"/>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A2143"/>
    <w:rsid w:val="29864976"/>
    <w:rsid w:val="298714C5"/>
    <w:rsid w:val="298A3588"/>
    <w:rsid w:val="299E7A8C"/>
    <w:rsid w:val="29C52E87"/>
    <w:rsid w:val="29C80548"/>
    <w:rsid w:val="29CE7264"/>
    <w:rsid w:val="29D9317B"/>
    <w:rsid w:val="29EC161D"/>
    <w:rsid w:val="29F04EAF"/>
    <w:rsid w:val="29F116D0"/>
    <w:rsid w:val="2A0241CA"/>
    <w:rsid w:val="2A0777DB"/>
    <w:rsid w:val="2A1074D9"/>
    <w:rsid w:val="2A136762"/>
    <w:rsid w:val="2A154338"/>
    <w:rsid w:val="2A1E7E82"/>
    <w:rsid w:val="2A606A11"/>
    <w:rsid w:val="2A7D5C08"/>
    <w:rsid w:val="2A832C81"/>
    <w:rsid w:val="2A846AB0"/>
    <w:rsid w:val="2A90033E"/>
    <w:rsid w:val="2AA47786"/>
    <w:rsid w:val="2AAA19F3"/>
    <w:rsid w:val="2AAD65EE"/>
    <w:rsid w:val="2AB23403"/>
    <w:rsid w:val="2AC27269"/>
    <w:rsid w:val="2AC77380"/>
    <w:rsid w:val="2ACE617E"/>
    <w:rsid w:val="2ADB4579"/>
    <w:rsid w:val="2ADD6AFD"/>
    <w:rsid w:val="2ADE6550"/>
    <w:rsid w:val="2AEA0CBC"/>
    <w:rsid w:val="2AFE0D9C"/>
    <w:rsid w:val="2B16602A"/>
    <w:rsid w:val="2B2C1FD1"/>
    <w:rsid w:val="2B2E0309"/>
    <w:rsid w:val="2B422946"/>
    <w:rsid w:val="2B5B34DC"/>
    <w:rsid w:val="2B5C1DAF"/>
    <w:rsid w:val="2B6D12EE"/>
    <w:rsid w:val="2B76579E"/>
    <w:rsid w:val="2B831E93"/>
    <w:rsid w:val="2B885C3B"/>
    <w:rsid w:val="2B8E2291"/>
    <w:rsid w:val="2B964DED"/>
    <w:rsid w:val="2B9B3546"/>
    <w:rsid w:val="2B9C6B65"/>
    <w:rsid w:val="2BA57D96"/>
    <w:rsid w:val="2BAE29A1"/>
    <w:rsid w:val="2BBE438D"/>
    <w:rsid w:val="2BD315B0"/>
    <w:rsid w:val="2BD66C4E"/>
    <w:rsid w:val="2BD81424"/>
    <w:rsid w:val="2BE373EE"/>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D12AE5"/>
    <w:rsid w:val="2CF02C63"/>
    <w:rsid w:val="2D1352C4"/>
    <w:rsid w:val="2D1D56C0"/>
    <w:rsid w:val="2D310CA2"/>
    <w:rsid w:val="2D3A323B"/>
    <w:rsid w:val="2D444485"/>
    <w:rsid w:val="2D4B55E5"/>
    <w:rsid w:val="2D4C0E6E"/>
    <w:rsid w:val="2D4C6148"/>
    <w:rsid w:val="2D53589F"/>
    <w:rsid w:val="2D5B1217"/>
    <w:rsid w:val="2D636D67"/>
    <w:rsid w:val="2D7646A7"/>
    <w:rsid w:val="2D7B05FB"/>
    <w:rsid w:val="2D8A4A41"/>
    <w:rsid w:val="2D8A62C6"/>
    <w:rsid w:val="2D926963"/>
    <w:rsid w:val="2DA21C7A"/>
    <w:rsid w:val="2DB30550"/>
    <w:rsid w:val="2DDA7850"/>
    <w:rsid w:val="2DDC0104"/>
    <w:rsid w:val="2DE379BB"/>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B575E"/>
    <w:rsid w:val="2EAD6888"/>
    <w:rsid w:val="2EB413EF"/>
    <w:rsid w:val="2EB50951"/>
    <w:rsid w:val="2EB673FD"/>
    <w:rsid w:val="2EB809B1"/>
    <w:rsid w:val="2EB81831"/>
    <w:rsid w:val="2EBC7A6F"/>
    <w:rsid w:val="2EC40E47"/>
    <w:rsid w:val="2EC941FC"/>
    <w:rsid w:val="2ECF7A85"/>
    <w:rsid w:val="2EE054B3"/>
    <w:rsid w:val="2EEB0155"/>
    <w:rsid w:val="2EFA0186"/>
    <w:rsid w:val="2EFA6107"/>
    <w:rsid w:val="2F0236C3"/>
    <w:rsid w:val="2F082BB8"/>
    <w:rsid w:val="2F0F048D"/>
    <w:rsid w:val="2F0F7632"/>
    <w:rsid w:val="2F2B5ABF"/>
    <w:rsid w:val="2F2E604D"/>
    <w:rsid w:val="2F332368"/>
    <w:rsid w:val="2F417886"/>
    <w:rsid w:val="2F4D26D8"/>
    <w:rsid w:val="2F5D2DA3"/>
    <w:rsid w:val="2F7473F9"/>
    <w:rsid w:val="2F7659EF"/>
    <w:rsid w:val="2F882E85"/>
    <w:rsid w:val="2F8A1363"/>
    <w:rsid w:val="2F8E5AA8"/>
    <w:rsid w:val="2F9A7F4A"/>
    <w:rsid w:val="2FB90071"/>
    <w:rsid w:val="2FC733B8"/>
    <w:rsid w:val="2FCA4F20"/>
    <w:rsid w:val="2FF433FB"/>
    <w:rsid w:val="300C4C70"/>
    <w:rsid w:val="303371BB"/>
    <w:rsid w:val="303A1CAD"/>
    <w:rsid w:val="3044399D"/>
    <w:rsid w:val="30487E8C"/>
    <w:rsid w:val="305868C6"/>
    <w:rsid w:val="305B1097"/>
    <w:rsid w:val="306275EE"/>
    <w:rsid w:val="306445C1"/>
    <w:rsid w:val="30672A4F"/>
    <w:rsid w:val="30674B15"/>
    <w:rsid w:val="306F3DBA"/>
    <w:rsid w:val="30722C1A"/>
    <w:rsid w:val="30726EEB"/>
    <w:rsid w:val="308640A9"/>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442CD4"/>
    <w:rsid w:val="31445B9B"/>
    <w:rsid w:val="314D2A6F"/>
    <w:rsid w:val="314F5F72"/>
    <w:rsid w:val="316B13D5"/>
    <w:rsid w:val="31720F1D"/>
    <w:rsid w:val="31745B98"/>
    <w:rsid w:val="317A7F18"/>
    <w:rsid w:val="317D6929"/>
    <w:rsid w:val="317E525C"/>
    <w:rsid w:val="319951C3"/>
    <w:rsid w:val="31B3107E"/>
    <w:rsid w:val="31B347D1"/>
    <w:rsid w:val="31BF03E5"/>
    <w:rsid w:val="31E65427"/>
    <w:rsid w:val="31EF7D40"/>
    <w:rsid w:val="31F33BFC"/>
    <w:rsid w:val="31F43BF9"/>
    <w:rsid w:val="31F96A5C"/>
    <w:rsid w:val="31FA0E29"/>
    <w:rsid w:val="31FB6610"/>
    <w:rsid w:val="31FE3F69"/>
    <w:rsid w:val="32006ED8"/>
    <w:rsid w:val="320733C3"/>
    <w:rsid w:val="321C18F4"/>
    <w:rsid w:val="321C2B52"/>
    <w:rsid w:val="321F61EC"/>
    <w:rsid w:val="32231F22"/>
    <w:rsid w:val="322E2854"/>
    <w:rsid w:val="323036BA"/>
    <w:rsid w:val="32455CE0"/>
    <w:rsid w:val="324F04DB"/>
    <w:rsid w:val="32503DFA"/>
    <w:rsid w:val="3255415E"/>
    <w:rsid w:val="32596DEE"/>
    <w:rsid w:val="32692300"/>
    <w:rsid w:val="32702FC0"/>
    <w:rsid w:val="327144B7"/>
    <w:rsid w:val="327C6A8D"/>
    <w:rsid w:val="32950684"/>
    <w:rsid w:val="32CA65F9"/>
    <w:rsid w:val="32D942C8"/>
    <w:rsid w:val="33054854"/>
    <w:rsid w:val="33064DC6"/>
    <w:rsid w:val="330A16FB"/>
    <w:rsid w:val="33116B69"/>
    <w:rsid w:val="33141FF7"/>
    <w:rsid w:val="331610E4"/>
    <w:rsid w:val="331B0364"/>
    <w:rsid w:val="33200A45"/>
    <w:rsid w:val="33210A1F"/>
    <w:rsid w:val="333E0092"/>
    <w:rsid w:val="33482976"/>
    <w:rsid w:val="33506C9F"/>
    <w:rsid w:val="33604260"/>
    <w:rsid w:val="33775E05"/>
    <w:rsid w:val="337F2716"/>
    <w:rsid w:val="338574F9"/>
    <w:rsid w:val="33A078AB"/>
    <w:rsid w:val="33A222F8"/>
    <w:rsid w:val="33A5187D"/>
    <w:rsid w:val="33B85C62"/>
    <w:rsid w:val="33B90357"/>
    <w:rsid w:val="33C3614F"/>
    <w:rsid w:val="33D62B96"/>
    <w:rsid w:val="33D90B5F"/>
    <w:rsid w:val="33E32DB1"/>
    <w:rsid w:val="33FE5C2D"/>
    <w:rsid w:val="33FF7460"/>
    <w:rsid w:val="341B058D"/>
    <w:rsid w:val="344127C5"/>
    <w:rsid w:val="34526E6E"/>
    <w:rsid w:val="345B1895"/>
    <w:rsid w:val="3463085A"/>
    <w:rsid w:val="34653B2A"/>
    <w:rsid w:val="34745294"/>
    <w:rsid w:val="34746874"/>
    <w:rsid w:val="3485590E"/>
    <w:rsid w:val="34946C2E"/>
    <w:rsid w:val="349A6D7E"/>
    <w:rsid w:val="34A24AD6"/>
    <w:rsid w:val="34AE3A84"/>
    <w:rsid w:val="34C04708"/>
    <w:rsid w:val="34C967AE"/>
    <w:rsid w:val="34D40B6A"/>
    <w:rsid w:val="34D46D17"/>
    <w:rsid w:val="34FB2B80"/>
    <w:rsid w:val="34FD5844"/>
    <w:rsid w:val="352201AD"/>
    <w:rsid w:val="35280DED"/>
    <w:rsid w:val="35463167"/>
    <w:rsid w:val="355B69FC"/>
    <w:rsid w:val="35665ADB"/>
    <w:rsid w:val="3572001E"/>
    <w:rsid w:val="357E63AE"/>
    <w:rsid w:val="35816EB9"/>
    <w:rsid w:val="35821E3D"/>
    <w:rsid w:val="35932D29"/>
    <w:rsid w:val="359F5261"/>
    <w:rsid w:val="35AD209F"/>
    <w:rsid w:val="35AD4D18"/>
    <w:rsid w:val="35B35F81"/>
    <w:rsid w:val="35BE39BF"/>
    <w:rsid w:val="35C2434B"/>
    <w:rsid w:val="35CC3248"/>
    <w:rsid w:val="35DF5798"/>
    <w:rsid w:val="35F421D8"/>
    <w:rsid w:val="35F81CC4"/>
    <w:rsid w:val="35FA7E78"/>
    <w:rsid w:val="35FE7215"/>
    <w:rsid w:val="35FF2DF2"/>
    <w:rsid w:val="36000F59"/>
    <w:rsid w:val="3600703E"/>
    <w:rsid w:val="360A456E"/>
    <w:rsid w:val="360B232F"/>
    <w:rsid w:val="361D59BA"/>
    <w:rsid w:val="36243BAF"/>
    <w:rsid w:val="36247CCA"/>
    <w:rsid w:val="36280FB0"/>
    <w:rsid w:val="36400759"/>
    <w:rsid w:val="364225B8"/>
    <w:rsid w:val="364B4F18"/>
    <w:rsid w:val="364C3867"/>
    <w:rsid w:val="36544E83"/>
    <w:rsid w:val="36601F32"/>
    <w:rsid w:val="367B06EC"/>
    <w:rsid w:val="368400A0"/>
    <w:rsid w:val="36977349"/>
    <w:rsid w:val="36A57135"/>
    <w:rsid w:val="36AA5184"/>
    <w:rsid w:val="36AF0D32"/>
    <w:rsid w:val="36C36BDE"/>
    <w:rsid w:val="36C5070D"/>
    <w:rsid w:val="36C5766F"/>
    <w:rsid w:val="36D704F3"/>
    <w:rsid w:val="36E90250"/>
    <w:rsid w:val="36ED465C"/>
    <w:rsid w:val="36F13515"/>
    <w:rsid w:val="370058B6"/>
    <w:rsid w:val="37066B46"/>
    <w:rsid w:val="370B45F5"/>
    <w:rsid w:val="37131885"/>
    <w:rsid w:val="37556EFB"/>
    <w:rsid w:val="37634C0D"/>
    <w:rsid w:val="37635AA2"/>
    <w:rsid w:val="376D038A"/>
    <w:rsid w:val="377D4FD1"/>
    <w:rsid w:val="378D4EC4"/>
    <w:rsid w:val="379127D4"/>
    <w:rsid w:val="37B01FC8"/>
    <w:rsid w:val="37BC673A"/>
    <w:rsid w:val="37F60BEA"/>
    <w:rsid w:val="37F7211A"/>
    <w:rsid w:val="37FD2BB1"/>
    <w:rsid w:val="37FE1821"/>
    <w:rsid w:val="38115BCA"/>
    <w:rsid w:val="381D63E4"/>
    <w:rsid w:val="38241CFE"/>
    <w:rsid w:val="38244FE4"/>
    <w:rsid w:val="382E3A30"/>
    <w:rsid w:val="383C048E"/>
    <w:rsid w:val="38454C9B"/>
    <w:rsid w:val="38484E6F"/>
    <w:rsid w:val="385A5B31"/>
    <w:rsid w:val="388116C0"/>
    <w:rsid w:val="388C714F"/>
    <w:rsid w:val="38946C1E"/>
    <w:rsid w:val="38966DB9"/>
    <w:rsid w:val="38A35DF1"/>
    <w:rsid w:val="38B20894"/>
    <w:rsid w:val="38C2768F"/>
    <w:rsid w:val="38CD59A4"/>
    <w:rsid w:val="38D26167"/>
    <w:rsid w:val="38D7209B"/>
    <w:rsid w:val="38E37461"/>
    <w:rsid w:val="38E536A6"/>
    <w:rsid w:val="38E72550"/>
    <w:rsid w:val="38E76D9E"/>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825EF1"/>
    <w:rsid w:val="398636A1"/>
    <w:rsid w:val="39897949"/>
    <w:rsid w:val="399D7118"/>
    <w:rsid w:val="39BC5220"/>
    <w:rsid w:val="39BE4A47"/>
    <w:rsid w:val="39D879D3"/>
    <w:rsid w:val="39E245E4"/>
    <w:rsid w:val="39FC179E"/>
    <w:rsid w:val="3A014E17"/>
    <w:rsid w:val="3A066018"/>
    <w:rsid w:val="3A0A15FB"/>
    <w:rsid w:val="3A172B9E"/>
    <w:rsid w:val="3A27547C"/>
    <w:rsid w:val="3A3871E3"/>
    <w:rsid w:val="3A3A7BDB"/>
    <w:rsid w:val="3A3C3C45"/>
    <w:rsid w:val="3A663EB0"/>
    <w:rsid w:val="3A87071A"/>
    <w:rsid w:val="3A9B7C92"/>
    <w:rsid w:val="3AA845F2"/>
    <w:rsid w:val="3AAC76F2"/>
    <w:rsid w:val="3AAD5CAC"/>
    <w:rsid w:val="3AAF045C"/>
    <w:rsid w:val="3AD8079E"/>
    <w:rsid w:val="3AD80861"/>
    <w:rsid w:val="3AF05E33"/>
    <w:rsid w:val="3AF1344F"/>
    <w:rsid w:val="3B1C5B19"/>
    <w:rsid w:val="3B2301BB"/>
    <w:rsid w:val="3B294F65"/>
    <w:rsid w:val="3B362C4D"/>
    <w:rsid w:val="3B45316C"/>
    <w:rsid w:val="3B557D87"/>
    <w:rsid w:val="3B8631C4"/>
    <w:rsid w:val="3B937719"/>
    <w:rsid w:val="3B942B73"/>
    <w:rsid w:val="3B9674D7"/>
    <w:rsid w:val="3BA20424"/>
    <w:rsid w:val="3BAE3B93"/>
    <w:rsid w:val="3BB335AC"/>
    <w:rsid w:val="3BC165FE"/>
    <w:rsid w:val="3BD3067E"/>
    <w:rsid w:val="3BD53AB5"/>
    <w:rsid w:val="3BED2875"/>
    <w:rsid w:val="3BEF40B2"/>
    <w:rsid w:val="3BFF61D4"/>
    <w:rsid w:val="3C0104C3"/>
    <w:rsid w:val="3C054F49"/>
    <w:rsid w:val="3C1708D8"/>
    <w:rsid w:val="3C262C87"/>
    <w:rsid w:val="3C26613B"/>
    <w:rsid w:val="3C307F03"/>
    <w:rsid w:val="3C3C39A0"/>
    <w:rsid w:val="3C3E72F6"/>
    <w:rsid w:val="3C5A7EF6"/>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7310"/>
    <w:rsid w:val="3D0154CA"/>
    <w:rsid w:val="3D117E02"/>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127B19"/>
    <w:rsid w:val="3E2653DC"/>
    <w:rsid w:val="3E280BEF"/>
    <w:rsid w:val="3E2B50D7"/>
    <w:rsid w:val="3E327F30"/>
    <w:rsid w:val="3E330ACA"/>
    <w:rsid w:val="3E352253"/>
    <w:rsid w:val="3E4754A6"/>
    <w:rsid w:val="3E6926D3"/>
    <w:rsid w:val="3E786B14"/>
    <w:rsid w:val="3E860F10"/>
    <w:rsid w:val="3E913ADC"/>
    <w:rsid w:val="3E922B85"/>
    <w:rsid w:val="3E922D59"/>
    <w:rsid w:val="3E9A15EB"/>
    <w:rsid w:val="3EA3700C"/>
    <w:rsid w:val="3EB02205"/>
    <w:rsid w:val="3EB47903"/>
    <w:rsid w:val="3ED7637C"/>
    <w:rsid w:val="3EDA3A1A"/>
    <w:rsid w:val="3EDF0CF3"/>
    <w:rsid w:val="3EE8557E"/>
    <w:rsid w:val="3EED740D"/>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B1447F"/>
    <w:rsid w:val="3FC35AFC"/>
    <w:rsid w:val="3FC41983"/>
    <w:rsid w:val="3FD1414D"/>
    <w:rsid w:val="3FD81218"/>
    <w:rsid w:val="3FE86F49"/>
    <w:rsid w:val="3FF35E75"/>
    <w:rsid w:val="400479C3"/>
    <w:rsid w:val="40240F49"/>
    <w:rsid w:val="40404B79"/>
    <w:rsid w:val="404358BE"/>
    <w:rsid w:val="40440ADB"/>
    <w:rsid w:val="40797278"/>
    <w:rsid w:val="407C15D8"/>
    <w:rsid w:val="408E3720"/>
    <w:rsid w:val="40912007"/>
    <w:rsid w:val="4094589D"/>
    <w:rsid w:val="40996730"/>
    <w:rsid w:val="409B357D"/>
    <w:rsid w:val="409F5F96"/>
    <w:rsid w:val="40BC2DF7"/>
    <w:rsid w:val="40CE14CF"/>
    <w:rsid w:val="40CF6877"/>
    <w:rsid w:val="40E17710"/>
    <w:rsid w:val="40E31518"/>
    <w:rsid w:val="40E86C9E"/>
    <w:rsid w:val="40F347AB"/>
    <w:rsid w:val="40F83F72"/>
    <w:rsid w:val="411713CA"/>
    <w:rsid w:val="411A6663"/>
    <w:rsid w:val="412D5086"/>
    <w:rsid w:val="413010DA"/>
    <w:rsid w:val="416E59E3"/>
    <w:rsid w:val="417B7C4C"/>
    <w:rsid w:val="417C0DD3"/>
    <w:rsid w:val="417C4EC1"/>
    <w:rsid w:val="41A664B7"/>
    <w:rsid w:val="41B06AAF"/>
    <w:rsid w:val="41B601E7"/>
    <w:rsid w:val="41CF3C25"/>
    <w:rsid w:val="41D57DE1"/>
    <w:rsid w:val="41D82E36"/>
    <w:rsid w:val="41DF5CBF"/>
    <w:rsid w:val="41EB174A"/>
    <w:rsid w:val="41EE3F21"/>
    <w:rsid w:val="41F025CB"/>
    <w:rsid w:val="42015830"/>
    <w:rsid w:val="42204C7E"/>
    <w:rsid w:val="42226713"/>
    <w:rsid w:val="422B2BA1"/>
    <w:rsid w:val="4231785A"/>
    <w:rsid w:val="4235332E"/>
    <w:rsid w:val="42513ADD"/>
    <w:rsid w:val="42584818"/>
    <w:rsid w:val="42606C69"/>
    <w:rsid w:val="427E48C1"/>
    <w:rsid w:val="428D7881"/>
    <w:rsid w:val="42926048"/>
    <w:rsid w:val="429B6E22"/>
    <w:rsid w:val="429C6B61"/>
    <w:rsid w:val="42BA33B4"/>
    <w:rsid w:val="42BF4C55"/>
    <w:rsid w:val="42C845D8"/>
    <w:rsid w:val="42F70947"/>
    <w:rsid w:val="42F91034"/>
    <w:rsid w:val="43262E27"/>
    <w:rsid w:val="433A1710"/>
    <w:rsid w:val="434841F7"/>
    <w:rsid w:val="434D6B99"/>
    <w:rsid w:val="43514383"/>
    <w:rsid w:val="43524A05"/>
    <w:rsid w:val="43655B98"/>
    <w:rsid w:val="43715C61"/>
    <w:rsid w:val="437D1A33"/>
    <w:rsid w:val="437F792B"/>
    <w:rsid w:val="43871CB4"/>
    <w:rsid w:val="43941A01"/>
    <w:rsid w:val="439828B7"/>
    <w:rsid w:val="43BE214E"/>
    <w:rsid w:val="43D40410"/>
    <w:rsid w:val="43ED298C"/>
    <w:rsid w:val="43EF2991"/>
    <w:rsid w:val="43F4696E"/>
    <w:rsid w:val="440021F6"/>
    <w:rsid w:val="442D4378"/>
    <w:rsid w:val="443127CF"/>
    <w:rsid w:val="44576235"/>
    <w:rsid w:val="44597BEE"/>
    <w:rsid w:val="44741317"/>
    <w:rsid w:val="44775260"/>
    <w:rsid w:val="447A4753"/>
    <w:rsid w:val="447A77AA"/>
    <w:rsid w:val="448231D7"/>
    <w:rsid w:val="448F7502"/>
    <w:rsid w:val="44A70E24"/>
    <w:rsid w:val="44DA3A0F"/>
    <w:rsid w:val="44DD300E"/>
    <w:rsid w:val="44E2656D"/>
    <w:rsid w:val="44F11452"/>
    <w:rsid w:val="4504003A"/>
    <w:rsid w:val="45177BA4"/>
    <w:rsid w:val="451C551F"/>
    <w:rsid w:val="451F3CCA"/>
    <w:rsid w:val="45341196"/>
    <w:rsid w:val="45367AAC"/>
    <w:rsid w:val="45493A4F"/>
    <w:rsid w:val="454E4188"/>
    <w:rsid w:val="45727755"/>
    <w:rsid w:val="45965757"/>
    <w:rsid w:val="45AB6014"/>
    <w:rsid w:val="45AD59A1"/>
    <w:rsid w:val="45AF1062"/>
    <w:rsid w:val="45BA5028"/>
    <w:rsid w:val="45C42822"/>
    <w:rsid w:val="45CA6C10"/>
    <w:rsid w:val="45D01294"/>
    <w:rsid w:val="45DA4126"/>
    <w:rsid w:val="45E03532"/>
    <w:rsid w:val="45FB48CF"/>
    <w:rsid w:val="45FC3625"/>
    <w:rsid w:val="460F3903"/>
    <w:rsid w:val="461853CA"/>
    <w:rsid w:val="461D49DF"/>
    <w:rsid w:val="462D5677"/>
    <w:rsid w:val="462D5957"/>
    <w:rsid w:val="463354F6"/>
    <w:rsid w:val="463546D0"/>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E17A4"/>
    <w:rsid w:val="46D81406"/>
    <w:rsid w:val="47050296"/>
    <w:rsid w:val="470A5361"/>
    <w:rsid w:val="47156CD7"/>
    <w:rsid w:val="471866FB"/>
    <w:rsid w:val="472022E1"/>
    <w:rsid w:val="472D3683"/>
    <w:rsid w:val="473B416A"/>
    <w:rsid w:val="473B7E9E"/>
    <w:rsid w:val="47403AF2"/>
    <w:rsid w:val="47453C8F"/>
    <w:rsid w:val="47562DE2"/>
    <w:rsid w:val="475B3378"/>
    <w:rsid w:val="4766347D"/>
    <w:rsid w:val="47715F93"/>
    <w:rsid w:val="478D4609"/>
    <w:rsid w:val="478D6A12"/>
    <w:rsid w:val="479149F3"/>
    <w:rsid w:val="47962309"/>
    <w:rsid w:val="47A05B27"/>
    <w:rsid w:val="47A151B7"/>
    <w:rsid w:val="47A170F2"/>
    <w:rsid w:val="47A32AF0"/>
    <w:rsid w:val="47AF032C"/>
    <w:rsid w:val="47B963C1"/>
    <w:rsid w:val="47BA0CEF"/>
    <w:rsid w:val="47D22BE9"/>
    <w:rsid w:val="47EA4D37"/>
    <w:rsid w:val="47EC146A"/>
    <w:rsid w:val="480C3662"/>
    <w:rsid w:val="481D74A2"/>
    <w:rsid w:val="483078B1"/>
    <w:rsid w:val="48334280"/>
    <w:rsid w:val="48386782"/>
    <w:rsid w:val="48406A1E"/>
    <w:rsid w:val="48443609"/>
    <w:rsid w:val="48455013"/>
    <w:rsid w:val="484B7369"/>
    <w:rsid w:val="485E09ED"/>
    <w:rsid w:val="487274B4"/>
    <w:rsid w:val="487F714C"/>
    <w:rsid w:val="48811612"/>
    <w:rsid w:val="488818E0"/>
    <w:rsid w:val="48B54923"/>
    <w:rsid w:val="48B84FB8"/>
    <w:rsid w:val="48E06989"/>
    <w:rsid w:val="48E92C88"/>
    <w:rsid w:val="48EB1D85"/>
    <w:rsid w:val="48F972E8"/>
    <w:rsid w:val="49020F8E"/>
    <w:rsid w:val="490C731D"/>
    <w:rsid w:val="49124D56"/>
    <w:rsid w:val="49326481"/>
    <w:rsid w:val="49406CB6"/>
    <w:rsid w:val="494C141C"/>
    <w:rsid w:val="4954359E"/>
    <w:rsid w:val="495C0CFA"/>
    <w:rsid w:val="49821D8D"/>
    <w:rsid w:val="4987544D"/>
    <w:rsid w:val="498B2C40"/>
    <w:rsid w:val="49A05099"/>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632C56"/>
    <w:rsid w:val="4A863FBD"/>
    <w:rsid w:val="4A892CB4"/>
    <w:rsid w:val="4AA927DF"/>
    <w:rsid w:val="4AB450E7"/>
    <w:rsid w:val="4ABA10FB"/>
    <w:rsid w:val="4ABD2CBE"/>
    <w:rsid w:val="4ACA49FA"/>
    <w:rsid w:val="4ACC15C6"/>
    <w:rsid w:val="4ACC17F6"/>
    <w:rsid w:val="4AD00606"/>
    <w:rsid w:val="4ADD5255"/>
    <w:rsid w:val="4AE8469B"/>
    <w:rsid w:val="4AED30D2"/>
    <w:rsid w:val="4AF05435"/>
    <w:rsid w:val="4AFA15BB"/>
    <w:rsid w:val="4AFE1C1B"/>
    <w:rsid w:val="4B213A1D"/>
    <w:rsid w:val="4B2A63DE"/>
    <w:rsid w:val="4B381C19"/>
    <w:rsid w:val="4B3E0F06"/>
    <w:rsid w:val="4B4E7BFB"/>
    <w:rsid w:val="4B503DE9"/>
    <w:rsid w:val="4B592E57"/>
    <w:rsid w:val="4B731311"/>
    <w:rsid w:val="4B9228EB"/>
    <w:rsid w:val="4B991EDB"/>
    <w:rsid w:val="4B9A2375"/>
    <w:rsid w:val="4BA17322"/>
    <w:rsid w:val="4BAD17E4"/>
    <w:rsid w:val="4BBD2F45"/>
    <w:rsid w:val="4BD47F62"/>
    <w:rsid w:val="4C0D0455"/>
    <w:rsid w:val="4C1F7A5B"/>
    <w:rsid w:val="4C304942"/>
    <w:rsid w:val="4C4048FC"/>
    <w:rsid w:val="4C4D35EC"/>
    <w:rsid w:val="4C4F073F"/>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86DA4"/>
    <w:rsid w:val="4D020DA5"/>
    <w:rsid w:val="4D0D52CB"/>
    <w:rsid w:val="4D120DE5"/>
    <w:rsid w:val="4D2C1A77"/>
    <w:rsid w:val="4D416F8E"/>
    <w:rsid w:val="4D5142D4"/>
    <w:rsid w:val="4D566C49"/>
    <w:rsid w:val="4D6037A5"/>
    <w:rsid w:val="4D693694"/>
    <w:rsid w:val="4D743AA4"/>
    <w:rsid w:val="4D834946"/>
    <w:rsid w:val="4D993267"/>
    <w:rsid w:val="4DA1355F"/>
    <w:rsid w:val="4DA537BB"/>
    <w:rsid w:val="4DA53A8B"/>
    <w:rsid w:val="4DA62BFC"/>
    <w:rsid w:val="4DAE4BCF"/>
    <w:rsid w:val="4DBB336E"/>
    <w:rsid w:val="4DBE6815"/>
    <w:rsid w:val="4DC2611F"/>
    <w:rsid w:val="4DE72DDF"/>
    <w:rsid w:val="4DED7567"/>
    <w:rsid w:val="4DF67531"/>
    <w:rsid w:val="4DF9062B"/>
    <w:rsid w:val="4E014EF8"/>
    <w:rsid w:val="4E052000"/>
    <w:rsid w:val="4E066E93"/>
    <w:rsid w:val="4E075658"/>
    <w:rsid w:val="4E194BEF"/>
    <w:rsid w:val="4E1D7E77"/>
    <w:rsid w:val="4E236A05"/>
    <w:rsid w:val="4E264B45"/>
    <w:rsid w:val="4E51451A"/>
    <w:rsid w:val="4E7D60BC"/>
    <w:rsid w:val="4E9B5BF1"/>
    <w:rsid w:val="4EA33B0C"/>
    <w:rsid w:val="4EDE397C"/>
    <w:rsid w:val="4EEF3623"/>
    <w:rsid w:val="4EF614BA"/>
    <w:rsid w:val="4EF62402"/>
    <w:rsid w:val="4F087D26"/>
    <w:rsid w:val="4F2042AF"/>
    <w:rsid w:val="4F2435DC"/>
    <w:rsid w:val="4F35630A"/>
    <w:rsid w:val="4F362E18"/>
    <w:rsid w:val="4F497B36"/>
    <w:rsid w:val="4F540B41"/>
    <w:rsid w:val="4F547EAA"/>
    <w:rsid w:val="4F5774C1"/>
    <w:rsid w:val="4F744081"/>
    <w:rsid w:val="4F832885"/>
    <w:rsid w:val="4F9039FE"/>
    <w:rsid w:val="4FA173CE"/>
    <w:rsid w:val="4FA54FE1"/>
    <w:rsid w:val="4FAA20BA"/>
    <w:rsid w:val="4FCF5D5C"/>
    <w:rsid w:val="4FE02223"/>
    <w:rsid w:val="4FE26A79"/>
    <w:rsid w:val="50437224"/>
    <w:rsid w:val="504648BC"/>
    <w:rsid w:val="50490678"/>
    <w:rsid w:val="505162F9"/>
    <w:rsid w:val="505A512C"/>
    <w:rsid w:val="5077550F"/>
    <w:rsid w:val="5089260D"/>
    <w:rsid w:val="50895295"/>
    <w:rsid w:val="5098572F"/>
    <w:rsid w:val="50AD025B"/>
    <w:rsid w:val="50B906DF"/>
    <w:rsid w:val="50C80F42"/>
    <w:rsid w:val="50F018D3"/>
    <w:rsid w:val="50F419E6"/>
    <w:rsid w:val="50F47A17"/>
    <w:rsid w:val="51062782"/>
    <w:rsid w:val="51336612"/>
    <w:rsid w:val="513D38A6"/>
    <w:rsid w:val="51456AF4"/>
    <w:rsid w:val="515C1DCC"/>
    <w:rsid w:val="51657C34"/>
    <w:rsid w:val="51790E28"/>
    <w:rsid w:val="517C7028"/>
    <w:rsid w:val="518B673C"/>
    <w:rsid w:val="51906BFC"/>
    <w:rsid w:val="519634A4"/>
    <w:rsid w:val="519B6609"/>
    <w:rsid w:val="51B1532D"/>
    <w:rsid w:val="51B858B2"/>
    <w:rsid w:val="51BE6CEC"/>
    <w:rsid w:val="51C26588"/>
    <w:rsid w:val="51D82383"/>
    <w:rsid w:val="51DE4114"/>
    <w:rsid w:val="51E110B3"/>
    <w:rsid w:val="51E31D3C"/>
    <w:rsid w:val="51E531F8"/>
    <w:rsid w:val="51F45C0D"/>
    <w:rsid w:val="51F45EC8"/>
    <w:rsid w:val="51FE2E2D"/>
    <w:rsid w:val="520A15B6"/>
    <w:rsid w:val="520F2ED4"/>
    <w:rsid w:val="521402BD"/>
    <w:rsid w:val="52152C19"/>
    <w:rsid w:val="522B39FB"/>
    <w:rsid w:val="52350DAA"/>
    <w:rsid w:val="52391E5F"/>
    <w:rsid w:val="52414E5C"/>
    <w:rsid w:val="524461BA"/>
    <w:rsid w:val="52463FBA"/>
    <w:rsid w:val="524A5D65"/>
    <w:rsid w:val="524C1BBF"/>
    <w:rsid w:val="526D0084"/>
    <w:rsid w:val="5290531B"/>
    <w:rsid w:val="529526FC"/>
    <w:rsid w:val="52A17AC6"/>
    <w:rsid w:val="52C04D72"/>
    <w:rsid w:val="52C51658"/>
    <w:rsid w:val="52CA35B0"/>
    <w:rsid w:val="52D27A41"/>
    <w:rsid w:val="52D62E46"/>
    <w:rsid w:val="52DD15C5"/>
    <w:rsid w:val="52E22B38"/>
    <w:rsid w:val="52F63B4F"/>
    <w:rsid w:val="53020EC2"/>
    <w:rsid w:val="53082F2C"/>
    <w:rsid w:val="53131C59"/>
    <w:rsid w:val="53286C71"/>
    <w:rsid w:val="53345BA9"/>
    <w:rsid w:val="53396085"/>
    <w:rsid w:val="535154E0"/>
    <w:rsid w:val="53670639"/>
    <w:rsid w:val="53771618"/>
    <w:rsid w:val="537C1740"/>
    <w:rsid w:val="53B84C8E"/>
    <w:rsid w:val="53BC5C65"/>
    <w:rsid w:val="53C76A1E"/>
    <w:rsid w:val="53E65701"/>
    <w:rsid w:val="53EE36FA"/>
    <w:rsid w:val="53F52A77"/>
    <w:rsid w:val="53FD5774"/>
    <w:rsid w:val="5414272D"/>
    <w:rsid w:val="5426037B"/>
    <w:rsid w:val="542E6AAF"/>
    <w:rsid w:val="543D68D9"/>
    <w:rsid w:val="54417415"/>
    <w:rsid w:val="546F7A15"/>
    <w:rsid w:val="54871B54"/>
    <w:rsid w:val="549518D3"/>
    <w:rsid w:val="549F3EDE"/>
    <w:rsid w:val="54AA3CD9"/>
    <w:rsid w:val="54B76615"/>
    <w:rsid w:val="54C069FB"/>
    <w:rsid w:val="54C96C83"/>
    <w:rsid w:val="54D31B63"/>
    <w:rsid w:val="54DC5A62"/>
    <w:rsid w:val="54EA3219"/>
    <w:rsid w:val="550118A5"/>
    <w:rsid w:val="55051D97"/>
    <w:rsid w:val="552E3723"/>
    <w:rsid w:val="553C6F74"/>
    <w:rsid w:val="554860F4"/>
    <w:rsid w:val="55582F0D"/>
    <w:rsid w:val="557A16A0"/>
    <w:rsid w:val="558C51E2"/>
    <w:rsid w:val="559A22C4"/>
    <w:rsid w:val="559C2F3F"/>
    <w:rsid w:val="559F228F"/>
    <w:rsid w:val="55A67EE8"/>
    <w:rsid w:val="55B54251"/>
    <w:rsid w:val="55C16AC0"/>
    <w:rsid w:val="55D00DC0"/>
    <w:rsid w:val="55D12C28"/>
    <w:rsid w:val="55E8090D"/>
    <w:rsid w:val="55F4696B"/>
    <w:rsid w:val="55FA6695"/>
    <w:rsid w:val="55FD24CA"/>
    <w:rsid w:val="56060266"/>
    <w:rsid w:val="562A1609"/>
    <w:rsid w:val="563F74A4"/>
    <w:rsid w:val="56474FF1"/>
    <w:rsid w:val="564E0D5A"/>
    <w:rsid w:val="566B53D2"/>
    <w:rsid w:val="56715C12"/>
    <w:rsid w:val="567B1141"/>
    <w:rsid w:val="5681373E"/>
    <w:rsid w:val="56957288"/>
    <w:rsid w:val="56991451"/>
    <w:rsid w:val="569A3398"/>
    <w:rsid w:val="56A7418C"/>
    <w:rsid w:val="56AD7471"/>
    <w:rsid w:val="56B67257"/>
    <w:rsid w:val="56BC5307"/>
    <w:rsid w:val="56BD78CA"/>
    <w:rsid w:val="56BF5531"/>
    <w:rsid w:val="56D03A56"/>
    <w:rsid w:val="56D255DB"/>
    <w:rsid w:val="56EB3361"/>
    <w:rsid w:val="56F0102A"/>
    <w:rsid w:val="56F40954"/>
    <w:rsid w:val="56F72F30"/>
    <w:rsid w:val="570251EE"/>
    <w:rsid w:val="570D256E"/>
    <w:rsid w:val="57301450"/>
    <w:rsid w:val="573349E8"/>
    <w:rsid w:val="57350D69"/>
    <w:rsid w:val="5744368A"/>
    <w:rsid w:val="574820C5"/>
    <w:rsid w:val="574D339C"/>
    <w:rsid w:val="5753468B"/>
    <w:rsid w:val="575B3101"/>
    <w:rsid w:val="5760479D"/>
    <w:rsid w:val="576D43D6"/>
    <w:rsid w:val="57742669"/>
    <w:rsid w:val="5779650A"/>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B7"/>
    <w:rsid w:val="585F7B51"/>
    <w:rsid w:val="58603614"/>
    <w:rsid w:val="58615E6E"/>
    <w:rsid w:val="58635793"/>
    <w:rsid w:val="586A36EE"/>
    <w:rsid w:val="588C11D6"/>
    <w:rsid w:val="58BD0992"/>
    <w:rsid w:val="58BF796A"/>
    <w:rsid w:val="58C16B43"/>
    <w:rsid w:val="58C70034"/>
    <w:rsid w:val="58EF47AD"/>
    <w:rsid w:val="59033141"/>
    <w:rsid w:val="590C08D4"/>
    <w:rsid w:val="59246060"/>
    <w:rsid w:val="592A36F8"/>
    <w:rsid w:val="59362E9D"/>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CA0DF6"/>
    <w:rsid w:val="59CD2536"/>
    <w:rsid w:val="59D05539"/>
    <w:rsid w:val="59D2025E"/>
    <w:rsid w:val="59E12D2E"/>
    <w:rsid w:val="59E140AF"/>
    <w:rsid w:val="59E56E97"/>
    <w:rsid w:val="59EE0B0E"/>
    <w:rsid w:val="59EF52ED"/>
    <w:rsid w:val="59F378E0"/>
    <w:rsid w:val="5A03208B"/>
    <w:rsid w:val="5A1B27B8"/>
    <w:rsid w:val="5A41505E"/>
    <w:rsid w:val="5A5A06F5"/>
    <w:rsid w:val="5A60385B"/>
    <w:rsid w:val="5A653FA0"/>
    <w:rsid w:val="5A6843E3"/>
    <w:rsid w:val="5A773B8A"/>
    <w:rsid w:val="5A7D2646"/>
    <w:rsid w:val="5A7E5ED8"/>
    <w:rsid w:val="5A91589A"/>
    <w:rsid w:val="5A950DCB"/>
    <w:rsid w:val="5A9F6E2F"/>
    <w:rsid w:val="5AAF69CC"/>
    <w:rsid w:val="5AC608F3"/>
    <w:rsid w:val="5ACA2411"/>
    <w:rsid w:val="5AE31485"/>
    <w:rsid w:val="5AE50AE6"/>
    <w:rsid w:val="5AF626D8"/>
    <w:rsid w:val="5AF62900"/>
    <w:rsid w:val="5AFA762A"/>
    <w:rsid w:val="5AFC40F3"/>
    <w:rsid w:val="5B053218"/>
    <w:rsid w:val="5B0D46E9"/>
    <w:rsid w:val="5B106FAA"/>
    <w:rsid w:val="5B211F37"/>
    <w:rsid w:val="5B22062D"/>
    <w:rsid w:val="5B241C6D"/>
    <w:rsid w:val="5B277C2D"/>
    <w:rsid w:val="5B2A6DA0"/>
    <w:rsid w:val="5B2B355B"/>
    <w:rsid w:val="5B3E3090"/>
    <w:rsid w:val="5B413ED9"/>
    <w:rsid w:val="5B736DFC"/>
    <w:rsid w:val="5B74248A"/>
    <w:rsid w:val="5B7C3A7D"/>
    <w:rsid w:val="5B8675CA"/>
    <w:rsid w:val="5B873273"/>
    <w:rsid w:val="5B8F4FC4"/>
    <w:rsid w:val="5BA45C49"/>
    <w:rsid w:val="5BA652CD"/>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5707D2"/>
    <w:rsid w:val="5C5C59BB"/>
    <w:rsid w:val="5C6A1E8C"/>
    <w:rsid w:val="5C6F3AA2"/>
    <w:rsid w:val="5C762A1F"/>
    <w:rsid w:val="5C7A3862"/>
    <w:rsid w:val="5C85298F"/>
    <w:rsid w:val="5C894D97"/>
    <w:rsid w:val="5C8A044A"/>
    <w:rsid w:val="5C9E7426"/>
    <w:rsid w:val="5C9F681E"/>
    <w:rsid w:val="5CB91E89"/>
    <w:rsid w:val="5CDC5778"/>
    <w:rsid w:val="5CDF0229"/>
    <w:rsid w:val="5CE40C2F"/>
    <w:rsid w:val="5CE70DB3"/>
    <w:rsid w:val="5CE92EB3"/>
    <w:rsid w:val="5CF20C05"/>
    <w:rsid w:val="5CF43050"/>
    <w:rsid w:val="5CF617C9"/>
    <w:rsid w:val="5D047EE8"/>
    <w:rsid w:val="5D110C61"/>
    <w:rsid w:val="5D1157A6"/>
    <w:rsid w:val="5D126228"/>
    <w:rsid w:val="5D1949C1"/>
    <w:rsid w:val="5D1B0F43"/>
    <w:rsid w:val="5D1F3C0E"/>
    <w:rsid w:val="5D204456"/>
    <w:rsid w:val="5D3734F1"/>
    <w:rsid w:val="5D3A42DC"/>
    <w:rsid w:val="5D423265"/>
    <w:rsid w:val="5D4C146E"/>
    <w:rsid w:val="5D7F6363"/>
    <w:rsid w:val="5D9A4008"/>
    <w:rsid w:val="5DA373AD"/>
    <w:rsid w:val="5DCE771F"/>
    <w:rsid w:val="5DD3556C"/>
    <w:rsid w:val="5DD81E67"/>
    <w:rsid w:val="5DE6704B"/>
    <w:rsid w:val="5DEC3B70"/>
    <w:rsid w:val="5DF63B79"/>
    <w:rsid w:val="5DF84369"/>
    <w:rsid w:val="5DF92DCB"/>
    <w:rsid w:val="5E091FB5"/>
    <w:rsid w:val="5E177160"/>
    <w:rsid w:val="5E277D80"/>
    <w:rsid w:val="5E280CB5"/>
    <w:rsid w:val="5E4130FC"/>
    <w:rsid w:val="5E447267"/>
    <w:rsid w:val="5E4A572D"/>
    <w:rsid w:val="5E537962"/>
    <w:rsid w:val="5E5667A6"/>
    <w:rsid w:val="5E676802"/>
    <w:rsid w:val="5E6C7C78"/>
    <w:rsid w:val="5E72699B"/>
    <w:rsid w:val="5E744CB7"/>
    <w:rsid w:val="5E773CC7"/>
    <w:rsid w:val="5E815CED"/>
    <w:rsid w:val="5E887A26"/>
    <w:rsid w:val="5E944937"/>
    <w:rsid w:val="5EA01B55"/>
    <w:rsid w:val="5EA063CD"/>
    <w:rsid w:val="5EA1660E"/>
    <w:rsid w:val="5EA35CFD"/>
    <w:rsid w:val="5EAC0CC5"/>
    <w:rsid w:val="5EAF07E9"/>
    <w:rsid w:val="5EB75E1B"/>
    <w:rsid w:val="5EC56393"/>
    <w:rsid w:val="5ECF2323"/>
    <w:rsid w:val="5EDC21AD"/>
    <w:rsid w:val="5EF011FF"/>
    <w:rsid w:val="5EF078DD"/>
    <w:rsid w:val="5EF62DCD"/>
    <w:rsid w:val="5EF82FA9"/>
    <w:rsid w:val="5EFB0071"/>
    <w:rsid w:val="5EFE34A1"/>
    <w:rsid w:val="5F0E4F9F"/>
    <w:rsid w:val="5F173FD8"/>
    <w:rsid w:val="5F1C6EB0"/>
    <w:rsid w:val="5F3262F4"/>
    <w:rsid w:val="5F4E76E9"/>
    <w:rsid w:val="5F5C27E5"/>
    <w:rsid w:val="5F673FEF"/>
    <w:rsid w:val="5F6938A8"/>
    <w:rsid w:val="5F6D529B"/>
    <w:rsid w:val="5F6E2815"/>
    <w:rsid w:val="5F7579E5"/>
    <w:rsid w:val="5F79179D"/>
    <w:rsid w:val="5F7B40E0"/>
    <w:rsid w:val="5F7C06D8"/>
    <w:rsid w:val="5F8B32E7"/>
    <w:rsid w:val="5F9A5ADD"/>
    <w:rsid w:val="5F9E02EC"/>
    <w:rsid w:val="5FA1081C"/>
    <w:rsid w:val="5FD9462B"/>
    <w:rsid w:val="5FDF17E3"/>
    <w:rsid w:val="5FE061B9"/>
    <w:rsid w:val="5FEB5761"/>
    <w:rsid w:val="5FFB6305"/>
    <w:rsid w:val="60011320"/>
    <w:rsid w:val="60216D06"/>
    <w:rsid w:val="60267D5D"/>
    <w:rsid w:val="604100BA"/>
    <w:rsid w:val="6057025C"/>
    <w:rsid w:val="606F133D"/>
    <w:rsid w:val="60785DC5"/>
    <w:rsid w:val="607B07D5"/>
    <w:rsid w:val="60882865"/>
    <w:rsid w:val="60916901"/>
    <w:rsid w:val="60993336"/>
    <w:rsid w:val="609949E1"/>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BA5EFD"/>
    <w:rsid w:val="61C07581"/>
    <w:rsid w:val="61C7660C"/>
    <w:rsid w:val="61D81BE2"/>
    <w:rsid w:val="61E93AD6"/>
    <w:rsid w:val="61F06D8B"/>
    <w:rsid w:val="620100B1"/>
    <w:rsid w:val="62143B18"/>
    <w:rsid w:val="62190F45"/>
    <w:rsid w:val="62193B80"/>
    <w:rsid w:val="621B4181"/>
    <w:rsid w:val="62216BE1"/>
    <w:rsid w:val="62351ACB"/>
    <w:rsid w:val="62353B47"/>
    <w:rsid w:val="623B3B7F"/>
    <w:rsid w:val="624076D6"/>
    <w:rsid w:val="62511DE0"/>
    <w:rsid w:val="62565A29"/>
    <w:rsid w:val="628C53F9"/>
    <w:rsid w:val="62937829"/>
    <w:rsid w:val="629E2BD8"/>
    <w:rsid w:val="62A20B07"/>
    <w:rsid w:val="62A414E0"/>
    <w:rsid w:val="62BA5904"/>
    <w:rsid w:val="62CC77CB"/>
    <w:rsid w:val="62E7631E"/>
    <w:rsid w:val="62F3784F"/>
    <w:rsid w:val="62F41404"/>
    <w:rsid w:val="62FF3FB5"/>
    <w:rsid w:val="63021DE2"/>
    <w:rsid w:val="6303037E"/>
    <w:rsid w:val="63112339"/>
    <w:rsid w:val="63261098"/>
    <w:rsid w:val="632C21E9"/>
    <w:rsid w:val="632C2662"/>
    <w:rsid w:val="633A0F04"/>
    <w:rsid w:val="6340127C"/>
    <w:rsid w:val="63402FDE"/>
    <w:rsid w:val="63502143"/>
    <w:rsid w:val="63654FE0"/>
    <w:rsid w:val="63681104"/>
    <w:rsid w:val="636E7A2E"/>
    <w:rsid w:val="636F7748"/>
    <w:rsid w:val="63A50D4E"/>
    <w:rsid w:val="63AA5332"/>
    <w:rsid w:val="63B94E8E"/>
    <w:rsid w:val="63C61233"/>
    <w:rsid w:val="63E257EE"/>
    <w:rsid w:val="63FF6AFB"/>
    <w:rsid w:val="64031E7C"/>
    <w:rsid w:val="64031F3E"/>
    <w:rsid w:val="640754EE"/>
    <w:rsid w:val="64075518"/>
    <w:rsid w:val="64142736"/>
    <w:rsid w:val="641B076E"/>
    <w:rsid w:val="642A2A58"/>
    <w:rsid w:val="64313238"/>
    <w:rsid w:val="64391A57"/>
    <w:rsid w:val="6447072E"/>
    <w:rsid w:val="64585109"/>
    <w:rsid w:val="645F7031"/>
    <w:rsid w:val="64881679"/>
    <w:rsid w:val="6496214C"/>
    <w:rsid w:val="649F7EFD"/>
    <w:rsid w:val="64A445FB"/>
    <w:rsid w:val="64A67ACD"/>
    <w:rsid w:val="64B23DB4"/>
    <w:rsid w:val="64B55A95"/>
    <w:rsid w:val="64B64B66"/>
    <w:rsid w:val="64B86E2A"/>
    <w:rsid w:val="64C12A40"/>
    <w:rsid w:val="64C15487"/>
    <w:rsid w:val="64C51685"/>
    <w:rsid w:val="64DA579E"/>
    <w:rsid w:val="64E51E54"/>
    <w:rsid w:val="6507095D"/>
    <w:rsid w:val="65137300"/>
    <w:rsid w:val="6526740F"/>
    <w:rsid w:val="652C605C"/>
    <w:rsid w:val="652D179A"/>
    <w:rsid w:val="65355BC5"/>
    <w:rsid w:val="653A4CCE"/>
    <w:rsid w:val="6543518D"/>
    <w:rsid w:val="65525F37"/>
    <w:rsid w:val="6556674F"/>
    <w:rsid w:val="655F0FD4"/>
    <w:rsid w:val="655F2B6C"/>
    <w:rsid w:val="657E7D7E"/>
    <w:rsid w:val="65862CD9"/>
    <w:rsid w:val="6588686F"/>
    <w:rsid w:val="659E46D8"/>
    <w:rsid w:val="65A57048"/>
    <w:rsid w:val="65A73F8D"/>
    <w:rsid w:val="65B50E5A"/>
    <w:rsid w:val="65C67D97"/>
    <w:rsid w:val="65D54781"/>
    <w:rsid w:val="660867AF"/>
    <w:rsid w:val="662029CE"/>
    <w:rsid w:val="66223545"/>
    <w:rsid w:val="66236F50"/>
    <w:rsid w:val="662D27C6"/>
    <w:rsid w:val="66452970"/>
    <w:rsid w:val="66452FE9"/>
    <w:rsid w:val="664C2357"/>
    <w:rsid w:val="668D7DF1"/>
    <w:rsid w:val="6697143C"/>
    <w:rsid w:val="669A4AE7"/>
    <w:rsid w:val="66AB7EE5"/>
    <w:rsid w:val="66BE1FC5"/>
    <w:rsid w:val="66D04B5E"/>
    <w:rsid w:val="66D60DB1"/>
    <w:rsid w:val="66DD40E8"/>
    <w:rsid w:val="66E561D8"/>
    <w:rsid w:val="66F00AF0"/>
    <w:rsid w:val="6700750E"/>
    <w:rsid w:val="6706007D"/>
    <w:rsid w:val="670F560C"/>
    <w:rsid w:val="67487CFE"/>
    <w:rsid w:val="67580868"/>
    <w:rsid w:val="67610EFA"/>
    <w:rsid w:val="67613074"/>
    <w:rsid w:val="67720BE9"/>
    <w:rsid w:val="6786341B"/>
    <w:rsid w:val="678C38A9"/>
    <w:rsid w:val="678D5B85"/>
    <w:rsid w:val="67904419"/>
    <w:rsid w:val="67995A29"/>
    <w:rsid w:val="67A00193"/>
    <w:rsid w:val="67A022E2"/>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C6010"/>
    <w:rsid w:val="68446D9B"/>
    <w:rsid w:val="684D6D87"/>
    <w:rsid w:val="684F6446"/>
    <w:rsid w:val="685036D0"/>
    <w:rsid w:val="68525B9B"/>
    <w:rsid w:val="688432AD"/>
    <w:rsid w:val="6886482A"/>
    <w:rsid w:val="688E57BC"/>
    <w:rsid w:val="68904BFB"/>
    <w:rsid w:val="689948DA"/>
    <w:rsid w:val="68A0499E"/>
    <w:rsid w:val="68A36E99"/>
    <w:rsid w:val="68AE3670"/>
    <w:rsid w:val="68B12F72"/>
    <w:rsid w:val="68C332BA"/>
    <w:rsid w:val="68C708F2"/>
    <w:rsid w:val="68CB2C9F"/>
    <w:rsid w:val="68D56251"/>
    <w:rsid w:val="68EF5946"/>
    <w:rsid w:val="68F25DFA"/>
    <w:rsid w:val="68FF6567"/>
    <w:rsid w:val="691C5AA1"/>
    <w:rsid w:val="693118AD"/>
    <w:rsid w:val="693C01EC"/>
    <w:rsid w:val="69562A4A"/>
    <w:rsid w:val="69603C4B"/>
    <w:rsid w:val="69614422"/>
    <w:rsid w:val="69683F1C"/>
    <w:rsid w:val="696C260A"/>
    <w:rsid w:val="69734633"/>
    <w:rsid w:val="6986197E"/>
    <w:rsid w:val="69930E11"/>
    <w:rsid w:val="699C0EF8"/>
    <w:rsid w:val="69A23095"/>
    <w:rsid w:val="69AB5DBB"/>
    <w:rsid w:val="69B06EFE"/>
    <w:rsid w:val="69B45BF9"/>
    <w:rsid w:val="69B840F1"/>
    <w:rsid w:val="69C91948"/>
    <w:rsid w:val="69EF5EEB"/>
    <w:rsid w:val="69F22996"/>
    <w:rsid w:val="69FD45AC"/>
    <w:rsid w:val="69FF1849"/>
    <w:rsid w:val="6A0C6539"/>
    <w:rsid w:val="6A2826A1"/>
    <w:rsid w:val="6A3431B8"/>
    <w:rsid w:val="6A551347"/>
    <w:rsid w:val="6A5660EE"/>
    <w:rsid w:val="6A5D1911"/>
    <w:rsid w:val="6A5F0530"/>
    <w:rsid w:val="6A653282"/>
    <w:rsid w:val="6A9635F7"/>
    <w:rsid w:val="6A9F3407"/>
    <w:rsid w:val="6AA45AEE"/>
    <w:rsid w:val="6AAA05A9"/>
    <w:rsid w:val="6AD5630A"/>
    <w:rsid w:val="6AE60241"/>
    <w:rsid w:val="6AE60B4C"/>
    <w:rsid w:val="6B0E0011"/>
    <w:rsid w:val="6B113D9E"/>
    <w:rsid w:val="6B28697A"/>
    <w:rsid w:val="6B3529D0"/>
    <w:rsid w:val="6B3611E8"/>
    <w:rsid w:val="6B3C6A10"/>
    <w:rsid w:val="6B3D3D48"/>
    <w:rsid w:val="6B5B3158"/>
    <w:rsid w:val="6B726A7C"/>
    <w:rsid w:val="6B7E05B9"/>
    <w:rsid w:val="6B8329CB"/>
    <w:rsid w:val="6B8833D8"/>
    <w:rsid w:val="6B8902B7"/>
    <w:rsid w:val="6BA832B8"/>
    <w:rsid w:val="6BB54A7D"/>
    <w:rsid w:val="6BBA5C26"/>
    <w:rsid w:val="6BC644EC"/>
    <w:rsid w:val="6BDB04B6"/>
    <w:rsid w:val="6BE963BE"/>
    <w:rsid w:val="6C010A69"/>
    <w:rsid w:val="6C0F365E"/>
    <w:rsid w:val="6C146C44"/>
    <w:rsid w:val="6C201C7F"/>
    <w:rsid w:val="6C2E2CA9"/>
    <w:rsid w:val="6C33536D"/>
    <w:rsid w:val="6C3E3641"/>
    <w:rsid w:val="6C3E4B74"/>
    <w:rsid w:val="6C4E0148"/>
    <w:rsid w:val="6C517C19"/>
    <w:rsid w:val="6C547454"/>
    <w:rsid w:val="6C5648D5"/>
    <w:rsid w:val="6C59110F"/>
    <w:rsid w:val="6C740601"/>
    <w:rsid w:val="6C842DAB"/>
    <w:rsid w:val="6C891DED"/>
    <w:rsid w:val="6C8A5474"/>
    <w:rsid w:val="6CD011C1"/>
    <w:rsid w:val="6CD85C69"/>
    <w:rsid w:val="6CDB73D6"/>
    <w:rsid w:val="6CED673D"/>
    <w:rsid w:val="6D073456"/>
    <w:rsid w:val="6D0C4FFA"/>
    <w:rsid w:val="6D127962"/>
    <w:rsid w:val="6D1413A4"/>
    <w:rsid w:val="6D3231DF"/>
    <w:rsid w:val="6D3B3522"/>
    <w:rsid w:val="6D464DCC"/>
    <w:rsid w:val="6D501553"/>
    <w:rsid w:val="6D616216"/>
    <w:rsid w:val="6D652808"/>
    <w:rsid w:val="6D693545"/>
    <w:rsid w:val="6D6F64BD"/>
    <w:rsid w:val="6D8C513A"/>
    <w:rsid w:val="6D8D1511"/>
    <w:rsid w:val="6D932C97"/>
    <w:rsid w:val="6D975823"/>
    <w:rsid w:val="6DA225C5"/>
    <w:rsid w:val="6DB630F7"/>
    <w:rsid w:val="6DB63E2B"/>
    <w:rsid w:val="6DBF57D4"/>
    <w:rsid w:val="6DD6353E"/>
    <w:rsid w:val="6DD73369"/>
    <w:rsid w:val="6DDE346B"/>
    <w:rsid w:val="6DDE390C"/>
    <w:rsid w:val="6DE77496"/>
    <w:rsid w:val="6E04099A"/>
    <w:rsid w:val="6E0E61FC"/>
    <w:rsid w:val="6E1C0830"/>
    <w:rsid w:val="6E3101C1"/>
    <w:rsid w:val="6E3524CA"/>
    <w:rsid w:val="6E413951"/>
    <w:rsid w:val="6E451A64"/>
    <w:rsid w:val="6E58598C"/>
    <w:rsid w:val="6E67698D"/>
    <w:rsid w:val="6E6839F7"/>
    <w:rsid w:val="6E733F82"/>
    <w:rsid w:val="6E7F11CF"/>
    <w:rsid w:val="6E874489"/>
    <w:rsid w:val="6E960A52"/>
    <w:rsid w:val="6EA0744D"/>
    <w:rsid w:val="6EA3291D"/>
    <w:rsid w:val="6EA67504"/>
    <w:rsid w:val="6EDD75A0"/>
    <w:rsid w:val="6EE73EE7"/>
    <w:rsid w:val="6EFE5FE0"/>
    <w:rsid w:val="6F0D2298"/>
    <w:rsid w:val="6F141C04"/>
    <w:rsid w:val="6F145E1F"/>
    <w:rsid w:val="6F222BC6"/>
    <w:rsid w:val="6F276C23"/>
    <w:rsid w:val="6F37324B"/>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D071A2"/>
    <w:rsid w:val="6FD57D31"/>
    <w:rsid w:val="6FD969D9"/>
    <w:rsid w:val="6FDF42CC"/>
    <w:rsid w:val="700A32D4"/>
    <w:rsid w:val="70131EEE"/>
    <w:rsid w:val="70143D7F"/>
    <w:rsid w:val="701B43F3"/>
    <w:rsid w:val="70394E16"/>
    <w:rsid w:val="703B2856"/>
    <w:rsid w:val="704D1DD9"/>
    <w:rsid w:val="70512274"/>
    <w:rsid w:val="707136A0"/>
    <w:rsid w:val="7071512F"/>
    <w:rsid w:val="70727776"/>
    <w:rsid w:val="70836044"/>
    <w:rsid w:val="70945DFE"/>
    <w:rsid w:val="70963635"/>
    <w:rsid w:val="709E757C"/>
    <w:rsid w:val="70A81FF7"/>
    <w:rsid w:val="70AB6982"/>
    <w:rsid w:val="70B960E4"/>
    <w:rsid w:val="70BA3201"/>
    <w:rsid w:val="70BD0161"/>
    <w:rsid w:val="70CE2945"/>
    <w:rsid w:val="70E03E42"/>
    <w:rsid w:val="70E60700"/>
    <w:rsid w:val="710003A8"/>
    <w:rsid w:val="710330C0"/>
    <w:rsid w:val="710376A0"/>
    <w:rsid w:val="710F0BB8"/>
    <w:rsid w:val="71194261"/>
    <w:rsid w:val="711C5BB5"/>
    <w:rsid w:val="712460F7"/>
    <w:rsid w:val="7126442B"/>
    <w:rsid w:val="71375D39"/>
    <w:rsid w:val="7139673C"/>
    <w:rsid w:val="713D094E"/>
    <w:rsid w:val="7144689C"/>
    <w:rsid w:val="714872A8"/>
    <w:rsid w:val="717E22AA"/>
    <w:rsid w:val="717E5F2F"/>
    <w:rsid w:val="71885178"/>
    <w:rsid w:val="718B15C7"/>
    <w:rsid w:val="71B2274D"/>
    <w:rsid w:val="71BF4E45"/>
    <w:rsid w:val="71C20258"/>
    <w:rsid w:val="71C43B20"/>
    <w:rsid w:val="71CC7EBE"/>
    <w:rsid w:val="71D20555"/>
    <w:rsid w:val="71DA77B8"/>
    <w:rsid w:val="71E216E7"/>
    <w:rsid w:val="71EA67D9"/>
    <w:rsid w:val="71F62720"/>
    <w:rsid w:val="72191D91"/>
    <w:rsid w:val="721F6459"/>
    <w:rsid w:val="722766A6"/>
    <w:rsid w:val="722D1EA5"/>
    <w:rsid w:val="72312C6E"/>
    <w:rsid w:val="72355C90"/>
    <w:rsid w:val="72370EF3"/>
    <w:rsid w:val="723D4E37"/>
    <w:rsid w:val="723E1C2C"/>
    <w:rsid w:val="724A0B59"/>
    <w:rsid w:val="724B3C7A"/>
    <w:rsid w:val="72522107"/>
    <w:rsid w:val="7258227F"/>
    <w:rsid w:val="726542C5"/>
    <w:rsid w:val="72713F85"/>
    <w:rsid w:val="72725AF0"/>
    <w:rsid w:val="727A0CBC"/>
    <w:rsid w:val="727E25B6"/>
    <w:rsid w:val="72931EAF"/>
    <w:rsid w:val="72963B15"/>
    <w:rsid w:val="729B43C7"/>
    <w:rsid w:val="729B556A"/>
    <w:rsid w:val="72A264DB"/>
    <w:rsid w:val="72AA2B66"/>
    <w:rsid w:val="72AE0542"/>
    <w:rsid w:val="72BD48D1"/>
    <w:rsid w:val="72C65D78"/>
    <w:rsid w:val="72D7336E"/>
    <w:rsid w:val="72F21234"/>
    <w:rsid w:val="72FD0906"/>
    <w:rsid w:val="7313580C"/>
    <w:rsid w:val="73300890"/>
    <w:rsid w:val="73314F4B"/>
    <w:rsid w:val="7339443F"/>
    <w:rsid w:val="733B5396"/>
    <w:rsid w:val="7350138A"/>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4170BD4"/>
    <w:rsid w:val="741D2D43"/>
    <w:rsid w:val="743970F8"/>
    <w:rsid w:val="743D60FD"/>
    <w:rsid w:val="74430134"/>
    <w:rsid w:val="745120AE"/>
    <w:rsid w:val="745F4062"/>
    <w:rsid w:val="748A1B2C"/>
    <w:rsid w:val="74937DAD"/>
    <w:rsid w:val="74A16504"/>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5A639D"/>
    <w:rsid w:val="755E6DA1"/>
    <w:rsid w:val="75612341"/>
    <w:rsid w:val="756F6041"/>
    <w:rsid w:val="75882465"/>
    <w:rsid w:val="75913AD5"/>
    <w:rsid w:val="759C1644"/>
    <w:rsid w:val="75A00840"/>
    <w:rsid w:val="75AB03F6"/>
    <w:rsid w:val="75BF0CCB"/>
    <w:rsid w:val="75C55943"/>
    <w:rsid w:val="75CA48E7"/>
    <w:rsid w:val="75E027FD"/>
    <w:rsid w:val="75E738EA"/>
    <w:rsid w:val="75E85E32"/>
    <w:rsid w:val="75F52389"/>
    <w:rsid w:val="76156475"/>
    <w:rsid w:val="761C37B5"/>
    <w:rsid w:val="76351D9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4062A"/>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474684"/>
    <w:rsid w:val="775666E2"/>
    <w:rsid w:val="77653ACC"/>
    <w:rsid w:val="77656F91"/>
    <w:rsid w:val="77747DD3"/>
    <w:rsid w:val="77A06CCB"/>
    <w:rsid w:val="77A565E6"/>
    <w:rsid w:val="77A82770"/>
    <w:rsid w:val="77A865AB"/>
    <w:rsid w:val="77B305B5"/>
    <w:rsid w:val="77BD4BE4"/>
    <w:rsid w:val="77BD7E72"/>
    <w:rsid w:val="77C9487D"/>
    <w:rsid w:val="77D64A50"/>
    <w:rsid w:val="77ED0386"/>
    <w:rsid w:val="77F72469"/>
    <w:rsid w:val="77F854D4"/>
    <w:rsid w:val="78065036"/>
    <w:rsid w:val="780D5CB6"/>
    <w:rsid w:val="780E4529"/>
    <w:rsid w:val="78210FCF"/>
    <w:rsid w:val="78237F61"/>
    <w:rsid w:val="78366B8C"/>
    <w:rsid w:val="783B287A"/>
    <w:rsid w:val="78482C69"/>
    <w:rsid w:val="78552B9A"/>
    <w:rsid w:val="785B15AC"/>
    <w:rsid w:val="785E7689"/>
    <w:rsid w:val="78600E71"/>
    <w:rsid w:val="788249B9"/>
    <w:rsid w:val="788627CD"/>
    <w:rsid w:val="78886D15"/>
    <w:rsid w:val="789E1CE4"/>
    <w:rsid w:val="78B2035E"/>
    <w:rsid w:val="78B43B82"/>
    <w:rsid w:val="78B57D9C"/>
    <w:rsid w:val="78BB76EA"/>
    <w:rsid w:val="78D400AC"/>
    <w:rsid w:val="78E26C73"/>
    <w:rsid w:val="78E76B0F"/>
    <w:rsid w:val="78F65C61"/>
    <w:rsid w:val="78FA523C"/>
    <w:rsid w:val="78FB1BD1"/>
    <w:rsid w:val="79213328"/>
    <w:rsid w:val="79421AE5"/>
    <w:rsid w:val="794D3A79"/>
    <w:rsid w:val="7964511F"/>
    <w:rsid w:val="79824E81"/>
    <w:rsid w:val="79850D4D"/>
    <w:rsid w:val="79956A1C"/>
    <w:rsid w:val="799B2468"/>
    <w:rsid w:val="799E7491"/>
    <w:rsid w:val="799F3F47"/>
    <w:rsid w:val="79A72484"/>
    <w:rsid w:val="79BA471D"/>
    <w:rsid w:val="79BB5F41"/>
    <w:rsid w:val="79C47FC2"/>
    <w:rsid w:val="79CB24E1"/>
    <w:rsid w:val="79DF005F"/>
    <w:rsid w:val="79E028EC"/>
    <w:rsid w:val="79F76C9A"/>
    <w:rsid w:val="79FC472A"/>
    <w:rsid w:val="7A114E8A"/>
    <w:rsid w:val="7A1C5B1C"/>
    <w:rsid w:val="7A1D47F9"/>
    <w:rsid w:val="7A1E195B"/>
    <w:rsid w:val="7A200379"/>
    <w:rsid w:val="7A233119"/>
    <w:rsid w:val="7A2D6C9D"/>
    <w:rsid w:val="7A43346E"/>
    <w:rsid w:val="7A4653BA"/>
    <w:rsid w:val="7A765EEC"/>
    <w:rsid w:val="7A773B5D"/>
    <w:rsid w:val="7A790CA9"/>
    <w:rsid w:val="7A8C0104"/>
    <w:rsid w:val="7A8C247F"/>
    <w:rsid w:val="7AB0523D"/>
    <w:rsid w:val="7AB83F1D"/>
    <w:rsid w:val="7ABA06A6"/>
    <w:rsid w:val="7AC73935"/>
    <w:rsid w:val="7ACC04C2"/>
    <w:rsid w:val="7AD234FC"/>
    <w:rsid w:val="7AD86C9B"/>
    <w:rsid w:val="7ADD6AF4"/>
    <w:rsid w:val="7AE05DA1"/>
    <w:rsid w:val="7AE2061C"/>
    <w:rsid w:val="7AF937F5"/>
    <w:rsid w:val="7B002131"/>
    <w:rsid w:val="7B0864F6"/>
    <w:rsid w:val="7B0932DE"/>
    <w:rsid w:val="7B134040"/>
    <w:rsid w:val="7B153818"/>
    <w:rsid w:val="7B1B16D3"/>
    <w:rsid w:val="7B2A35A9"/>
    <w:rsid w:val="7B2E6780"/>
    <w:rsid w:val="7B517D5F"/>
    <w:rsid w:val="7B5D217A"/>
    <w:rsid w:val="7B614801"/>
    <w:rsid w:val="7B684A54"/>
    <w:rsid w:val="7B6E29B2"/>
    <w:rsid w:val="7B833CC0"/>
    <w:rsid w:val="7B913B86"/>
    <w:rsid w:val="7B97422A"/>
    <w:rsid w:val="7BA969F0"/>
    <w:rsid w:val="7BB31B68"/>
    <w:rsid w:val="7BC84FD2"/>
    <w:rsid w:val="7BCB31C0"/>
    <w:rsid w:val="7BDB19C4"/>
    <w:rsid w:val="7BDC6155"/>
    <w:rsid w:val="7C071C5F"/>
    <w:rsid w:val="7C1311BA"/>
    <w:rsid w:val="7C194469"/>
    <w:rsid w:val="7C1A6CD5"/>
    <w:rsid w:val="7C2630F4"/>
    <w:rsid w:val="7C28176B"/>
    <w:rsid w:val="7C3A066B"/>
    <w:rsid w:val="7C45471C"/>
    <w:rsid w:val="7C7354E1"/>
    <w:rsid w:val="7C773FB5"/>
    <w:rsid w:val="7C7E27D3"/>
    <w:rsid w:val="7C7F3629"/>
    <w:rsid w:val="7C8B7A6D"/>
    <w:rsid w:val="7C90110D"/>
    <w:rsid w:val="7C90620C"/>
    <w:rsid w:val="7C9B6AF6"/>
    <w:rsid w:val="7CA004DF"/>
    <w:rsid w:val="7CA34622"/>
    <w:rsid w:val="7CC90590"/>
    <w:rsid w:val="7CF11A09"/>
    <w:rsid w:val="7D2A6646"/>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9A4BF4"/>
    <w:rsid w:val="7D9C2E79"/>
    <w:rsid w:val="7DAA0918"/>
    <w:rsid w:val="7DB838C8"/>
    <w:rsid w:val="7DC23C3E"/>
    <w:rsid w:val="7DCA5633"/>
    <w:rsid w:val="7DF31684"/>
    <w:rsid w:val="7DF46E1B"/>
    <w:rsid w:val="7DFE66C3"/>
    <w:rsid w:val="7E0464CE"/>
    <w:rsid w:val="7E1976B5"/>
    <w:rsid w:val="7E202324"/>
    <w:rsid w:val="7E2C2660"/>
    <w:rsid w:val="7E450ECB"/>
    <w:rsid w:val="7E476D34"/>
    <w:rsid w:val="7E48774E"/>
    <w:rsid w:val="7E591586"/>
    <w:rsid w:val="7E6D6DAE"/>
    <w:rsid w:val="7E6F3FB2"/>
    <w:rsid w:val="7E8A4D65"/>
    <w:rsid w:val="7E8A54C9"/>
    <w:rsid w:val="7E957586"/>
    <w:rsid w:val="7E9B11AA"/>
    <w:rsid w:val="7EA32AD0"/>
    <w:rsid w:val="7EC826AD"/>
    <w:rsid w:val="7ED55007"/>
    <w:rsid w:val="7ED953E3"/>
    <w:rsid w:val="7EDC0092"/>
    <w:rsid w:val="7EF05C7E"/>
    <w:rsid w:val="7EF765D0"/>
    <w:rsid w:val="7EF766B2"/>
    <w:rsid w:val="7EF87C96"/>
    <w:rsid w:val="7F020969"/>
    <w:rsid w:val="7F086927"/>
    <w:rsid w:val="7F215D8A"/>
    <w:rsid w:val="7F301B1E"/>
    <w:rsid w:val="7F375D0A"/>
    <w:rsid w:val="7F384F8C"/>
    <w:rsid w:val="7F500CBA"/>
    <w:rsid w:val="7F547B11"/>
    <w:rsid w:val="7F587DE1"/>
    <w:rsid w:val="7F61016D"/>
    <w:rsid w:val="7F6D28E2"/>
    <w:rsid w:val="7F820D78"/>
    <w:rsid w:val="7F8720EC"/>
    <w:rsid w:val="7F935AA2"/>
    <w:rsid w:val="7FA51E6D"/>
    <w:rsid w:val="7FB545B0"/>
    <w:rsid w:val="7FC53F5E"/>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8FFB45-43B9-455E-BA73-6DDFBF05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86436"/>
    <w:pPr>
      <w:spacing w:after="200" w:line="276" w:lineRule="auto"/>
      <w:jc w:val="both"/>
    </w:pPr>
    <w:rPr>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4"/>
    <w:next w:val="a"/>
    <w:uiPriority w:val="9"/>
    <w:qFormat/>
    <w:pPr>
      <w:numPr>
        <w:ilvl w:val="4"/>
      </w:numPr>
      <w:spacing w:after="0"/>
      <w:outlineLvl w:val="4"/>
    </w:pPr>
    <w:rPr>
      <w:rFonts w:ascii="宋体" w:hAnsi="宋体" w:hint="eastAsia"/>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pPr>
    <w:rPr>
      <w:color w:val="0000FF"/>
      <w:kern w:val="2"/>
      <w:sz w:val="21"/>
      <w:szCs w:val="20"/>
    </w:rPr>
  </w:style>
  <w:style w:type="paragraph" w:styleId="ac">
    <w:name w:val="Date"/>
    <w:basedOn w:val="a"/>
    <w:next w:val="a"/>
    <w:link w:val="ad"/>
    <w:uiPriority w:val="99"/>
    <w:semiHidden/>
    <w:unhideWhenUsed/>
    <w:qFormat/>
    <w:pPr>
      <w:ind w:leftChars="2500" w:left="100"/>
    </w:pPr>
  </w:style>
  <w:style w:type="paragraph" w:styleId="ae">
    <w:name w:val="Balloon Text"/>
    <w:basedOn w:val="a"/>
    <w:link w:val="af"/>
    <w:uiPriority w:val="99"/>
    <w:unhideWhenUsed/>
    <w:qFormat/>
    <w:pPr>
      <w:spacing w:after="0" w:line="240" w:lineRule="auto"/>
    </w:pPr>
    <w:rPr>
      <w:rFonts w:ascii="Tahoma" w:hAnsi="Tahoma"/>
      <w:sz w:val="16"/>
      <w:szCs w:val="16"/>
    </w:rPr>
  </w:style>
  <w:style w:type="paragraph" w:styleId="af0">
    <w:name w:val="footer"/>
    <w:basedOn w:val="a"/>
    <w:qFormat/>
    <w:pPr>
      <w:tabs>
        <w:tab w:val="center" w:pos="4153"/>
        <w:tab w:val="right" w:pos="8306"/>
      </w:tabs>
      <w:snapToGrid w:val="0"/>
      <w:spacing w:line="240" w:lineRule="auto"/>
    </w:pPr>
    <w:rPr>
      <w:sz w:val="18"/>
      <w:szCs w:val="18"/>
    </w:rPr>
  </w:style>
  <w:style w:type="paragraph" w:styleId="af1">
    <w:name w:val="header"/>
    <w:basedOn w:val="a"/>
    <w:link w:val="af2"/>
    <w:qFormat/>
    <w:pPr>
      <w:tabs>
        <w:tab w:val="center" w:pos="4536"/>
        <w:tab w:val="right" w:pos="9072"/>
      </w:tabs>
      <w:spacing w:after="0" w:line="240" w:lineRule="auto"/>
    </w:pPr>
    <w:rPr>
      <w:rFonts w:ascii="Arial" w:eastAsia="MS Mincho" w:hAnsi="Arial"/>
      <w:b/>
      <w:szCs w:val="24"/>
      <w:lang w:eastAsia="en-US"/>
    </w:rPr>
  </w:style>
  <w:style w:type="paragraph" w:styleId="af3">
    <w:name w:val="List"/>
    <w:basedOn w:val="a"/>
    <w:uiPriority w:val="99"/>
    <w:unhideWhenUsed/>
    <w:qFormat/>
    <w:pPr>
      <w:ind w:left="200" w:hangingChars="200" w:hanging="200"/>
      <w:contextualSpacing/>
    </w:pPr>
  </w:style>
  <w:style w:type="paragraph" w:styleId="af4">
    <w:name w:val="footnote text"/>
    <w:basedOn w:val="a"/>
    <w:link w:val="af5"/>
    <w:semiHidden/>
    <w:qFormat/>
    <w:pPr>
      <w:spacing w:after="0" w:line="240" w:lineRule="auto"/>
    </w:pPr>
    <w:rPr>
      <w:rFonts w:ascii="Times" w:eastAsia="Batang" w:hAnsi="Times"/>
      <w:szCs w:val="20"/>
      <w:lang w:eastAsia="en-US"/>
    </w:rPr>
  </w:style>
  <w:style w:type="paragraph" w:styleId="af6">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7">
    <w:name w:val="annotation subject"/>
    <w:basedOn w:val="a8"/>
    <w:next w:val="a8"/>
    <w:link w:val="af8"/>
    <w:uiPriority w:val="99"/>
    <w:unhideWhenUsed/>
    <w:qFormat/>
    <w:rPr>
      <w:b/>
      <w:bCs/>
    </w:rPr>
  </w:style>
  <w:style w:type="table" w:styleId="af9">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a">
    <w:name w:val="Strong"/>
    <w:basedOn w:val="a0"/>
    <w:uiPriority w:val="22"/>
    <w:qFormat/>
    <w:rPr>
      <w:b/>
    </w:rPr>
  </w:style>
  <w:style w:type="character" w:styleId="afb">
    <w:name w:val="page number"/>
    <w:basedOn w:val="a0"/>
    <w:semiHidden/>
    <w:qFormat/>
  </w:style>
  <w:style w:type="character" w:styleId="afc">
    <w:name w:val="FollowedHyperlink"/>
    <w:uiPriority w:val="99"/>
    <w:unhideWhenUsed/>
    <w:qFormat/>
    <w:rPr>
      <w:color w:val="2779B6"/>
      <w:u w:val="single"/>
    </w:rPr>
  </w:style>
  <w:style w:type="character" w:styleId="afd">
    <w:name w:val="Emphasis"/>
    <w:qFormat/>
    <w:rPr>
      <w:i/>
    </w:rPr>
  </w:style>
  <w:style w:type="character" w:styleId="afe">
    <w:name w:val="Hyperlink"/>
    <w:uiPriority w:val="99"/>
    <w:unhideWhenUsed/>
    <w:qFormat/>
    <w:rPr>
      <w:color w:val="2779B6"/>
      <w:u w:val="single"/>
    </w:rPr>
  </w:style>
  <w:style w:type="character" w:styleId="aff">
    <w:name w:val="annotation reference"/>
    <w:unhideWhenUsed/>
    <w:qFormat/>
    <w:rPr>
      <w:sz w:val="16"/>
      <w:szCs w:val="16"/>
    </w:rPr>
  </w:style>
  <w:style w:type="character" w:styleId="aff0">
    <w:name w:val="footnote reference"/>
    <w:semiHidden/>
    <w:qFormat/>
    <w:rPr>
      <w:b/>
      <w:position w:val="6"/>
      <w:sz w:val="16"/>
    </w:rPr>
  </w:style>
  <w:style w:type="character" w:customStyle="1" w:styleId="af">
    <w:name w:val="批注框文本 字符"/>
    <w:link w:val="ae"/>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qFormat/>
    <w:rPr>
      <w:rFonts w:ascii="Arial" w:eastAsia="黑体" w:hAnsi="Arial"/>
      <w:b/>
      <w:bCs/>
      <w:sz w:val="32"/>
      <w:szCs w:val="32"/>
      <w:lang w:val="zh-CN"/>
    </w:rPr>
  </w:style>
  <w:style w:type="character" w:customStyle="1" w:styleId="af2">
    <w:name w:val="页眉 字符"/>
    <w:link w:val="af1"/>
    <w:qFormat/>
    <w:rPr>
      <w:rFonts w:ascii="Arial" w:eastAsia="MS Mincho" w:hAnsi="Arial"/>
      <w:b/>
      <w:szCs w:val="24"/>
      <w:lang w:eastAsia="en-US"/>
    </w:rPr>
  </w:style>
  <w:style w:type="character" w:customStyle="1" w:styleId="af8">
    <w:name w:val="批注主题 字符"/>
    <w:link w:val="af7"/>
    <w:uiPriority w:val="99"/>
    <w:semiHidden/>
    <w:qFormat/>
    <w:rPr>
      <w:b/>
      <w:bCs/>
    </w:rPr>
  </w:style>
  <w:style w:type="character" w:customStyle="1" w:styleId="af5">
    <w:name w:val="脚注文本 字符"/>
    <w:link w:val="af4"/>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3"/>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1">
    <w:name w:val="表格文字居左"/>
    <w:basedOn w:val="a"/>
    <w:next w:val="a"/>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eastAsia="t"/>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f2">
    <w:name w:val="List Paragraph"/>
    <w:basedOn w:val="a"/>
    <w:link w:val="aff3"/>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styleId="aff4">
    <w:name w:val="No Spacing"/>
    <w:uiPriority w:val="1"/>
    <w:qFormat/>
    <w:pPr>
      <w:spacing w:after="160" w:line="259" w:lineRule="auto"/>
    </w:pPr>
    <w:rPr>
      <w:rFonts w:ascii="Calibri" w:hAnsi="Calibri"/>
      <w:sz w:val="22"/>
      <w:szCs w:val="22"/>
    </w:rPr>
  </w:style>
  <w:style w:type="paragraph" w:customStyle="1" w:styleId="tal0">
    <w:name w:val="tal"/>
    <w:basedOn w:val="a"/>
    <w:qFormat/>
    <w:pPr>
      <w:keepNext/>
      <w:spacing w:after="0" w:line="240" w:lineRule="auto"/>
    </w:pPr>
    <w:rPr>
      <w:rFonts w:ascii="Arial" w:eastAsia="Gulim" w:hAnsi="Arial" w:cs="Arial"/>
      <w:sz w:val="18"/>
      <w:szCs w:val="18"/>
      <w:lang w:eastAsia="ko-KR"/>
    </w:rPr>
  </w:style>
  <w:style w:type="paragraph" w:customStyle="1" w:styleId="xmsonormal">
    <w:name w:val="x_msonormal"/>
    <w:basedOn w:val="a"/>
    <w:uiPriority w:val="99"/>
    <w:qFormat/>
    <w:rPr>
      <w:rFonts w:ascii="Calibri" w:eastAsia="Calibri" w:hAnsi="Calibri" w:cs="Calibri"/>
      <w:sz w:val="22"/>
    </w:rPr>
  </w:style>
  <w:style w:type="paragraph" w:customStyle="1" w:styleId="PatAppBody">
    <w:name w:val="PatApp Body"/>
    <w:basedOn w:val="a"/>
    <w:qFormat/>
    <w:pPr>
      <w:numPr>
        <w:numId w:val="7"/>
      </w:numPr>
      <w:spacing w:line="480" w:lineRule="auto"/>
    </w:pPr>
    <w:rPr>
      <w:rFonts w:eastAsia="Times New Roman"/>
      <w:snapToGrid w:val="0"/>
      <w:sz w:val="24"/>
      <w:szCs w:val="20"/>
      <w:lang w:eastAsia="en-US"/>
    </w:rPr>
  </w:style>
  <w:style w:type="character" w:customStyle="1" w:styleId="font11">
    <w:name w:val="font11"/>
    <w:basedOn w:val="a0"/>
    <w:qFormat/>
    <w:rPr>
      <w:rFonts w:ascii="宋体" w:eastAsia="宋体" w:hAnsi="宋体" w:cs="宋体" w:hint="eastAsia"/>
      <w:color w:val="000000"/>
      <w:sz w:val="24"/>
      <w:szCs w:val="24"/>
      <w:u w:val="none"/>
      <w:vertAlign w:val="subscript"/>
    </w:rPr>
  </w:style>
  <w:style w:type="paragraph" w:customStyle="1" w:styleId="1a">
    <w:name w:val="列表段落1"/>
    <w:basedOn w:val="a"/>
    <w:qFormat/>
    <w:pPr>
      <w:spacing w:before="100" w:beforeAutospacing="1" w:after="100" w:afterAutospacing="1" w:line="240" w:lineRule="auto"/>
      <w:ind w:leftChars="400" w:left="840"/>
    </w:pPr>
    <w:rPr>
      <w:rFonts w:ascii="Times" w:eastAsia="Batang" w:hAnsi="Times" w:cs="Times"/>
      <w:sz w:val="24"/>
      <w:szCs w:val="24"/>
    </w:rPr>
  </w:style>
  <w:style w:type="table" w:customStyle="1" w:styleId="22">
    <w:name w:val="网格型2"/>
    <w:basedOn w:val="a1"/>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日期 字符"/>
    <w:basedOn w:val="a0"/>
    <w:link w:val="ac"/>
    <w:uiPriority w:val="99"/>
    <w:semiHidden/>
    <w:qFormat/>
    <w:rPr>
      <w:rFonts w:eastAsia="t"/>
      <w:szCs w:val="22"/>
    </w:rPr>
  </w:style>
  <w:style w:type="paragraph" w:customStyle="1" w:styleId="msolistparagraph0">
    <w:name w:val="msolistparagraph"/>
    <w:basedOn w:val="a"/>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aff3">
    <w:name w:val="列表段落 字符"/>
    <w:link w:val="aff2"/>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aff5">
    <w:name w:val="Placeholder Text"/>
    <w:basedOn w:val="a0"/>
    <w:uiPriority w:val="99"/>
    <w:semiHidden/>
    <w:qFormat/>
    <w:rPr>
      <w:color w:val="808080"/>
    </w:rPr>
  </w:style>
  <w:style w:type="paragraph" w:styleId="aff6">
    <w:name w:val="Revision"/>
    <w:hidden/>
    <w:uiPriority w:val="99"/>
    <w:semiHidden/>
    <w:rsid w:val="00B91E49"/>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11.wmf"/><Relationship Id="rId39" Type="http://schemas.openxmlformats.org/officeDocument/2006/relationships/chart" Target="charts/chart4.xml"/><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image" Target="media/image24.png"/><Relationship Id="rId47" Type="http://schemas.openxmlformats.org/officeDocument/2006/relationships/chart" Target="charts/chart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3.png"/><Relationship Id="rId11" Type="http://schemas.openxmlformats.org/officeDocument/2006/relationships/chart" Target="charts/chart3.xml"/><Relationship Id="rId24" Type="http://schemas.openxmlformats.org/officeDocument/2006/relationships/image" Target="media/image10.wmf"/><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3.png"/><Relationship Id="rId45" Type="http://schemas.openxmlformats.org/officeDocument/2006/relationships/chart" Target="charts/chart7.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image" Target="media/image6.wmf"/><Relationship Id="rId31" Type="http://schemas.openxmlformats.org/officeDocument/2006/relationships/image" Target="media/image15.png"/><Relationship Id="rId44"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8.png"/><Relationship Id="rId27" Type="http://schemas.openxmlformats.org/officeDocument/2006/relationships/oleObject" Target="embeddings/oleObject6.bin"/><Relationship Id="rId30" Type="http://schemas.openxmlformats.org/officeDocument/2006/relationships/image" Target="media/image14.png"/><Relationship Id="rId35" Type="http://schemas.openxmlformats.org/officeDocument/2006/relationships/image" Target="media/image19.emf"/><Relationship Id="rId43" Type="http://schemas.openxmlformats.org/officeDocument/2006/relationships/image" Target="media/image25.png"/><Relationship Id="rId48" Type="http://schemas.openxmlformats.org/officeDocument/2006/relationships/fontTable" Target="fontTable.xml"/><Relationship Id="rId8" Type="http://schemas.openxmlformats.org/officeDocument/2006/relationships/chart" Target="charts/chart1.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chart" Target="charts/chart8.xml"/><Relationship Id="rId20" Type="http://schemas.openxmlformats.org/officeDocument/2006/relationships/oleObject" Target="embeddings/oleObject4.bin"/><Relationship Id="rId41"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Work%20docs\1%20Meetings\RAN1"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Work%20docs\1%20Meetings\RAN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31639;&#27861;&#25991;&#26723;new\R19\&#20223;&#30495;&#32467;&#26524;\&#31995;&#32479;&#20223;&#30495;&#32467;&#26524;&#27719;&#24635;_032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Work%20docs\1%20Meetings\RAN1"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Work%20docs\1%20Meetings\RAN1"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ZSJ\&#20869;&#37096;&#35752;&#35770;&#25991;&#26723;-6G\&#21496;&#28304;\CBSR&#20223;&#30495;&#25968;&#25454;_6.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ZSJ\&#20869;&#37096;&#35752;&#35770;&#25991;&#26723;-6G\&#21496;&#28304;\CBSR&#20223;&#30495;&#25968;&#25454;_6.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ZSJ\&#20869;&#37096;&#35752;&#35770;&#25991;&#26723;-6G\&#21496;&#28304;\CBSR&#20223;&#30495;&#25968;&#25454;_6.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ZSJ\&#20869;&#37096;&#35752;&#35770;&#25991;&#26723;-6G\&#21496;&#28304;\CBSR&#20223;&#30495;&#25968;&#25454;_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"O1=O2=1"</c:f>
              <c:strCache>
                <c:ptCount val="1"/>
                <c:pt idx="0">
                  <c:v>O1=O2=1</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ysClr val="windowText" lastClr="000000">
                          <a:lumMod val="35000"/>
                          <a:lumOff val="65000"/>
                        </a:sysClr>
                      </a:solidFill>
                      <a:round/>
                    </a:ln>
                    <a:effectLst/>
                  </c:spPr>
                </c15:leaderLines>
              </c:ext>
            </c:extLst>
          </c:dLbls>
          <c:cat>
            <c:strRef>
              <c:f>'[128T SLS 20240219_zmq .xlsx]Sheet1'!$C$150:$C$151</c:f>
              <c:strCache>
                <c:ptCount val="2"/>
                <c:pt idx="0">
                  <c:v>64T (average)</c:v>
                </c:pt>
                <c:pt idx="1">
                  <c:v>72T (average)</c:v>
                </c:pt>
              </c:strCache>
            </c:strRef>
          </c:cat>
          <c:val>
            <c:numRef>
              <c:f>'[128T SLS 20240219_zmq .xlsx]Sheet1'!$D$150:$D$151</c:f>
              <c:numCache>
                <c:formatCode>0.00%</c:formatCode>
                <c:ptCount val="2"/>
                <c:pt idx="0">
                  <c:v>1</c:v>
                </c:pt>
                <c:pt idx="1">
                  <c:v>1</c:v>
                </c:pt>
              </c:numCache>
            </c:numRef>
          </c:val>
          <c:extLst>
            <c:ext xmlns:c16="http://schemas.microsoft.com/office/drawing/2014/chart" uri="{C3380CC4-5D6E-409C-BE32-E72D297353CC}">
              <c16:uniqueId val="{00000000-6191-4E31-91DF-F44CC1A36039}"/>
            </c:ext>
          </c:extLst>
        </c:ser>
        <c:ser>
          <c:idx val="1"/>
          <c:order val="1"/>
          <c:tx>
            <c:strRef>
              <c:f>"O1=O2=2"</c:f>
              <c:strCache>
                <c:ptCount val="1"/>
                <c:pt idx="0">
                  <c:v>O1=O2=2</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ysClr val="windowText" lastClr="000000">
                          <a:lumMod val="35000"/>
                          <a:lumOff val="65000"/>
                        </a:sysClr>
                      </a:solidFill>
                      <a:round/>
                    </a:ln>
                    <a:effectLst/>
                  </c:spPr>
                </c15:leaderLines>
              </c:ext>
            </c:extLst>
          </c:dLbls>
          <c:cat>
            <c:strRef>
              <c:f>'[128T SLS 20240219_zmq .xlsx]Sheet1'!$C$150:$C$151</c:f>
              <c:strCache>
                <c:ptCount val="2"/>
                <c:pt idx="0">
                  <c:v>64T (average)</c:v>
                </c:pt>
                <c:pt idx="1">
                  <c:v>72T (average)</c:v>
                </c:pt>
              </c:strCache>
            </c:strRef>
          </c:cat>
          <c:val>
            <c:numRef>
              <c:f>'[128T SLS 20240219_zmq .xlsx]Sheet1'!$E$150:$E$151</c:f>
              <c:numCache>
                <c:formatCode>0.00%</c:formatCode>
                <c:ptCount val="2"/>
                <c:pt idx="0">
                  <c:v>1.0944</c:v>
                </c:pt>
                <c:pt idx="1">
                  <c:v>1.0545356996173001</c:v>
                </c:pt>
              </c:numCache>
            </c:numRef>
          </c:val>
          <c:extLst>
            <c:ext xmlns:c16="http://schemas.microsoft.com/office/drawing/2014/chart" uri="{C3380CC4-5D6E-409C-BE32-E72D297353CC}">
              <c16:uniqueId val="{00000001-6191-4E31-91DF-F44CC1A36039}"/>
            </c:ext>
          </c:extLst>
        </c:ser>
        <c:ser>
          <c:idx val="2"/>
          <c:order val="2"/>
          <c:tx>
            <c:strRef>
              <c:f>"O1=O2=4"</c:f>
              <c:strCache>
                <c:ptCount val="1"/>
                <c:pt idx="0">
                  <c:v>O1=O2=4</c:v>
                </c:pt>
              </c:strCache>
            </c:strRef>
          </c:tx>
          <c:spPr>
            <a:solidFill>
              <a:srgbClr val="A5A5A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ysClr val="windowText" lastClr="000000">
                          <a:lumMod val="35000"/>
                          <a:lumOff val="65000"/>
                        </a:sysClr>
                      </a:solidFill>
                      <a:round/>
                    </a:ln>
                    <a:effectLst/>
                  </c:spPr>
                </c15:leaderLines>
              </c:ext>
            </c:extLst>
          </c:dLbls>
          <c:cat>
            <c:strRef>
              <c:f>'[128T SLS 20240219_zmq .xlsx]Sheet1'!$C$150:$C$151</c:f>
              <c:strCache>
                <c:ptCount val="2"/>
                <c:pt idx="0">
                  <c:v>64T (average)</c:v>
                </c:pt>
                <c:pt idx="1">
                  <c:v>72T (average)</c:v>
                </c:pt>
              </c:strCache>
            </c:strRef>
          </c:cat>
          <c:val>
            <c:numRef>
              <c:f>'[128T SLS 20240219_zmq .xlsx]Sheet1'!$F$150:$F$151</c:f>
              <c:numCache>
                <c:formatCode>0.00%</c:formatCode>
                <c:ptCount val="2"/>
                <c:pt idx="0">
                  <c:v>1.1262000000000001</c:v>
                </c:pt>
                <c:pt idx="1">
                  <c:v>1.0599639238720999</c:v>
                </c:pt>
              </c:numCache>
            </c:numRef>
          </c:val>
          <c:extLst>
            <c:ext xmlns:c16="http://schemas.microsoft.com/office/drawing/2014/chart" uri="{C3380CC4-5D6E-409C-BE32-E72D297353CC}">
              <c16:uniqueId val="{00000002-6191-4E31-91DF-F44CC1A36039}"/>
            </c:ext>
          </c:extLst>
        </c:ser>
        <c:dLbls>
          <c:showLegendKey val="0"/>
          <c:showVal val="1"/>
          <c:showCatName val="0"/>
          <c:showSerName val="0"/>
          <c:showPercent val="0"/>
          <c:showBubbleSize val="0"/>
        </c:dLbls>
        <c:gapWidth val="219"/>
        <c:overlap val="-27"/>
        <c:axId val="343932085"/>
        <c:axId val="835980041"/>
      </c:barChart>
      <c:catAx>
        <c:axId val="343932085"/>
        <c:scaling>
          <c:orientation val="minMax"/>
        </c:scaling>
        <c:delete val="0"/>
        <c:axPos val="b"/>
        <c:numFmt formatCode="General" sourceLinked="0"/>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835980041"/>
        <c:crosses val="autoZero"/>
        <c:auto val="1"/>
        <c:lblAlgn val="ctr"/>
        <c:lblOffset val="100"/>
        <c:noMultiLvlLbl val="0"/>
      </c:catAx>
      <c:valAx>
        <c:axId val="835980041"/>
        <c:scaling>
          <c:orientation val="minMax"/>
          <c:max val="1.3"/>
          <c:min val="0.5"/>
        </c:scaling>
        <c:delete val="0"/>
        <c:axPos val="l"/>
        <c:majorGridlines>
          <c:spPr>
            <a:ln w="9525" cap="flat" cmpd="sng" algn="ctr">
              <a:solidFill>
                <a:sysClr val="windowText" lastClr="000000">
                  <a:lumMod val="15000"/>
                  <a:lumOff val="85000"/>
                </a:sysClr>
              </a:solidFill>
              <a:round/>
            </a:ln>
            <a:effectLst/>
          </c:spPr>
        </c:majorGridlines>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343932085"/>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7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'[Type I_5评估20240214.xlsx]Sheet1'!$G$115</c:f>
              <c:strCache>
                <c:ptCount val="1"/>
                <c:pt idx="0">
                  <c:v>Type-I</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'[Type I_5评估20240214.xlsx]Sheet1'!$H$114:$I$114</c:f>
              <c:strCache>
                <c:ptCount val="2"/>
                <c:pt idx="0">
                  <c:v>5%-ile</c:v>
                </c:pt>
                <c:pt idx="1">
                  <c:v>Average</c:v>
                </c:pt>
              </c:strCache>
            </c:strRef>
          </c:cat>
          <c:val>
            <c:numRef>
              <c:f>'[Type I_5评估20240214.xlsx]Sheet1'!$H$115:$I$115</c:f>
              <c:numCache>
                <c:formatCode>0%</c:formatCode>
                <c:ptCount val="2"/>
                <c:pt idx="0">
                  <c:v>1</c:v>
                </c:pt>
                <c:pt idx="1">
                  <c:v>1</c:v>
                </c:pt>
              </c:numCache>
            </c:numRef>
          </c:val>
          <c:extLst>
            <c:ext xmlns:c16="http://schemas.microsoft.com/office/drawing/2014/chart" uri="{C3380CC4-5D6E-409C-BE32-E72D297353CC}">
              <c16:uniqueId val="{00000000-E02E-496E-98D2-448E49EA7091}"/>
            </c:ext>
          </c:extLst>
        </c:ser>
        <c:ser>
          <c:idx val="1"/>
          <c:order val="1"/>
          <c:tx>
            <c:strRef>
              <c:f>'[Type I_5评估20240214.xlsx]Sheet1'!$G$121</c:f>
              <c:strCache>
                <c:ptCount val="1"/>
                <c:pt idx="0">
                  <c:v>Scheme 3</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'[Type I_5评估20240214.xlsx]Sheet1'!$H$114:$I$114</c:f>
              <c:strCache>
                <c:ptCount val="2"/>
                <c:pt idx="0">
                  <c:v>5%-ile</c:v>
                </c:pt>
                <c:pt idx="1">
                  <c:v>Average</c:v>
                </c:pt>
              </c:strCache>
            </c:strRef>
          </c:cat>
          <c:val>
            <c:numRef>
              <c:f>'[Type I_5评估20240214.xlsx]Sheet1'!$H$116:$I$116</c:f>
              <c:numCache>
                <c:formatCode>0.00%</c:formatCode>
                <c:ptCount val="2"/>
                <c:pt idx="0">
                  <c:v>1.49203466095828</c:v>
                </c:pt>
                <c:pt idx="1">
                  <c:v>1.1051333225004401</c:v>
                </c:pt>
              </c:numCache>
            </c:numRef>
          </c:val>
          <c:extLst>
            <c:ext xmlns:c16="http://schemas.microsoft.com/office/drawing/2014/chart" uri="{C3380CC4-5D6E-409C-BE32-E72D297353CC}">
              <c16:uniqueId val="{00000001-E02E-496E-98D2-448E49EA7091}"/>
            </c:ext>
          </c:extLst>
        </c:ser>
        <c:ser>
          <c:idx val="2"/>
          <c:order val="2"/>
          <c:tx>
            <c:strRef>
              <c:f>'[Type I_5评估20240214.xlsx]Sheet1'!$G$117</c:f>
              <c:strCache>
                <c:ptCount val="1"/>
                <c:pt idx="0">
                  <c:v>eType-II</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'[Type I_5评估20240214.xlsx]Sheet1'!$H$114:$I$114</c:f>
              <c:strCache>
                <c:ptCount val="2"/>
                <c:pt idx="0">
                  <c:v>5%-ile</c:v>
                </c:pt>
                <c:pt idx="1">
                  <c:v>Average</c:v>
                </c:pt>
              </c:strCache>
            </c:strRef>
          </c:cat>
          <c:val>
            <c:numRef>
              <c:f>'[Type I_5评估20240214.xlsx]Sheet1'!$H$117:$I$117</c:f>
              <c:numCache>
                <c:formatCode>0.00%</c:formatCode>
                <c:ptCount val="2"/>
                <c:pt idx="0">
                  <c:v>1.74011648663703</c:v>
                </c:pt>
                <c:pt idx="1">
                  <c:v>1.16991315836726</c:v>
                </c:pt>
              </c:numCache>
            </c:numRef>
          </c:val>
          <c:extLst>
            <c:ext xmlns:c16="http://schemas.microsoft.com/office/drawing/2014/chart" uri="{C3380CC4-5D6E-409C-BE32-E72D297353CC}">
              <c16:uniqueId val="{00000002-E02E-496E-98D2-448E49EA7091}"/>
            </c:ext>
          </c:extLst>
        </c:ser>
        <c:dLbls>
          <c:showLegendKey val="0"/>
          <c:showVal val="1"/>
          <c:showCatName val="0"/>
          <c:showSerName val="0"/>
          <c:showPercent val="0"/>
          <c:showBubbleSize val="0"/>
        </c:dLbls>
        <c:gapWidth val="219"/>
        <c:overlap val="-27"/>
        <c:axId val="55270318"/>
        <c:axId val="141501600"/>
      </c:barChart>
      <c:catAx>
        <c:axId val="552703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141501600"/>
        <c:crosses val="autoZero"/>
        <c:auto val="1"/>
        <c:lblAlgn val="ctr"/>
        <c:lblOffset val="100"/>
        <c:noMultiLvlLbl val="0"/>
      </c:catAx>
      <c:valAx>
        <c:axId val="141501600"/>
        <c:scaling>
          <c:orientation val="minMax"/>
          <c:min val="0.5"/>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5527031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[系统仿真结果汇总_0326.xlsx]SU!$B$27</c:f>
              <c:strCache>
                <c:ptCount val="1"/>
                <c:pt idx="0">
                  <c:v>legacy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700" b="0" i="0" u="none" strike="noStrike" kern="1200" cap="none" spc="0" normalizeH="0" baseline="0">
                    <a:solidFill>
                      <a:schemeClr val="tx1"/>
                    </a:solidFill>
                    <a:uFill>
                      <a:solidFill>
                        <a:schemeClr val="tx1"/>
                      </a:solidFill>
                    </a:u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[系统仿真结果汇总_0326.xlsx]SU!$A$28:$A$29</c:f>
              <c:strCache>
                <c:ptCount val="2"/>
                <c:pt idx="0">
                  <c:v>5%-ile</c:v>
                </c:pt>
                <c:pt idx="1">
                  <c:v>Average</c:v>
                </c:pt>
              </c:strCache>
            </c:strRef>
          </c:cat>
          <c:val>
            <c:numRef>
              <c:f>[系统仿真结果汇总_0326.xlsx]SU!$B$28:$B$29</c:f>
              <c:numCache>
                <c:formatCode>0%</c:formatCode>
                <c:ptCount val="2"/>
                <c:pt idx="0">
                  <c:v>1</c:v>
                </c:pt>
                <c:pt idx="1">
                  <c:v>1</c:v>
                </c:pt>
              </c:numCache>
            </c:numRef>
          </c:val>
          <c:extLst>
            <c:ext xmlns:c16="http://schemas.microsoft.com/office/drawing/2014/chart" uri="{C3380CC4-5D6E-409C-BE32-E72D297353CC}">
              <c16:uniqueId val="{00000000-7C1B-42CB-9E73-F374A2DA25A2}"/>
            </c:ext>
          </c:extLst>
        </c:ser>
        <c:ser>
          <c:idx val="1"/>
          <c:order val="1"/>
          <c:tx>
            <c:strRef>
              <c:f>[系统仿真结果汇总_0326.xlsx]SU!$C$27</c:f>
              <c:strCache>
                <c:ptCount val="1"/>
                <c:pt idx="0">
                  <c:v>eType-Ⅰ</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700" b="0" i="0" u="none" strike="noStrike" kern="1200" cap="none" spc="0" normalizeH="0" baseline="0">
                    <a:solidFill>
                      <a:schemeClr val="tx1"/>
                    </a:solidFill>
                    <a:uFill>
                      <a:solidFill>
                        <a:schemeClr val="tx1"/>
                      </a:solidFill>
                    </a:u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[系统仿真结果汇总_0326.xlsx]SU!$A$28:$A$29</c:f>
              <c:strCache>
                <c:ptCount val="2"/>
                <c:pt idx="0">
                  <c:v>5%-ile</c:v>
                </c:pt>
                <c:pt idx="1">
                  <c:v>Average</c:v>
                </c:pt>
              </c:strCache>
            </c:strRef>
          </c:cat>
          <c:val>
            <c:numRef>
              <c:f>[系统仿真结果汇总_0326.xlsx]SU!$C$28:$C$29</c:f>
              <c:numCache>
                <c:formatCode>0.00%</c:formatCode>
                <c:ptCount val="2"/>
                <c:pt idx="0">
                  <c:v>1.2969438110001901</c:v>
                </c:pt>
                <c:pt idx="1">
                  <c:v>1.11666764231294</c:v>
                </c:pt>
              </c:numCache>
            </c:numRef>
          </c:val>
          <c:extLst>
            <c:ext xmlns:c16="http://schemas.microsoft.com/office/drawing/2014/chart" uri="{C3380CC4-5D6E-409C-BE32-E72D297353CC}">
              <c16:uniqueId val="{00000001-7C1B-42CB-9E73-F374A2DA25A2}"/>
            </c:ext>
          </c:extLst>
        </c:ser>
        <c:dLbls>
          <c:showLegendKey val="0"/>
          <c:showVal val="1"/>
          <c:showCatName val="0"/>
          <c:showSerName val="0"/>
          <c:showPercent val="0"/>
          <c:showBubbleSize val="0"/>
        </c:dLbls>
        <c:gapWidth val="219"/>
        <c:overlap val="-27"/>
        <c:axId val="480586909"/>
        <c:axId val="932818003"/>
      </c:barChart>
      <c:catAx>
        <c:axId val="480586909"/>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700" b="0" i="0" u="none" strike="noStrike" kern="1200" cap="none" spc="0" normalizeH="0" baseline="0">
                <a:solidFill>
                  <a:schemeClr val="tx1"/>
                </a:solidFill>
                <a:uFill>
                  <a:solidFill>
                    <a:schemeClr val="tx1"/>
                  </a:solidFill>
                </a:uFill>
                <a:latin typeface="Times New Roman" panose="02020603050405020304" charset="0"/>
                <a:ea typeface="+mn-ea"/>
                <a:cs typeface="Times New Roman" panose="02020603050405020304" charset="0"/>
              </a:defRPr>
            </a:pPr>
            <a:endParaRPr lang="zh-CN"/>
          </a:p>
        </c:txPr>
        <c:crossAx val="932818003"/>
        <c:crosses val="autoZero"/>
        <c:auto val="1"/>
        <c:lblAlgn val="ctr"/>
        <c:lblOffset val="100"/>
        <c:noMultiLvlLbl val="0"/>
      </c:catAx>
      <c:valAx>
        <c:axId val="93281800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700" b="0" i="0" u="none" strike="noStrike" kern="1200" cap="none" spc="0" normalizeH="0" baseline="0">
                <a:solidFill>
                  <a:schemeClr val="tx1"/>
                </a:solidFill>
                <a:uFill>
                  <a:solidFill>
                    <a:schemeClr val="tx1"/>
                  </a:solidFill>
                </a:uFill>
                <a:latin typeface="Times New Roman" panose="02020603050405020304" charset="0"/>
                <a:ea typeface="+mn-ea"/>
                <a:cs typeface="Times New Roman" panose="02020603050405020304" charset="0"/>
              </a:defRPr>
            </a:pPr>
            <a:endParaRPr lang="zh-CN"/>
          </a:p>
        </c:txPr>
        <c:crossAx val="480586909"/>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700" b="0" i="0" u="none" strike="noStrike" kern="1200" cap="none" spc="0" normalizeH="0" baseline="0">
                <a:solidFill>
                  <a:schemeClr val="tx1"/>
                </a:solidFill>
                <a:uFill>
                  <a:solidFill>
                    <a:schemeClr val="tx1"/>
                  </a:solidFill>
                </a:uFill>
                <a:latin typeface="Times New Roman" panose="02020603050405020304" charset="0"/>
                <a:ea typeface="+mn-ea"/>
                <a:cs typeface="Times New Roman" panose="02020603050405020304" charset="0"/>
              </a:defRPr>
            </a:pPr>
            <a:endParaRPr lang="zh-CN"/>
          </a:p>
        </c:txPr>
      </c:legendEntry>
      <c:legendEntry>
        <c:idx val="1"/>
        <c:txPr>
          <a:bodyPr rot="0" spcFirstLastPara="1" vertOverflow="ellipsis" vert="horz" wrap="square" anchor="ctr" anchorCtr="1"/>
          <a:lstStyle/>
          <a:p>
            <a:pPr>
              <a:defRPr lang="zh-CN" sz="700" b="0" i="0" u="none" strike="noStrike" kern="1200" cap="none" spc="0" normalizeH="0" baseline="0">
                <a:solidFill>
                  <a:schemeClr val="tx1"/>
                </a:solidFill>
                <a:uFill>
                  <a:solidFill>
                    <a:schemeClr val="tx1"/>
                  </a:solidFill>
                </a:uFill>
                <a:latin typeface="Times New Roman" panose="02020603050405020304" charset="0"/>
                <a:ea typeface="+mn-ea"/>
                <a:cs typeface="Times New Roman" panose="02020603050405020304" charset="0"/>
              </a:defRPr>
            </a:pPr>
            <a:endParaRPr lang="zh-CN"/>
          </a:p>
        </c:txPr>
      </c:legendEntry>
      <c:overlay val="0"/>
      <c:spPr>
        <a:noFill/>
        <a:ln>
          <a:noFill/>
        </a:ln>
        <a:effectLst/>
      </c:spPr>
      <c:txPr>
        <a:bodyPr rot="0" spcFirstLastPara="1" vertOverflow="ellipsis" vert="horz" wrap="square" anchor="ctr" anchorCtr="1"/>
        <a:lstStyle/>
        <a:p>
          <a:pPr>
            <a:defRPr lang="zh-CN" sz="700" b="0" i="0" u="none" strike="noStrike" kern="1200" cap="none" spc="0" normalizeH="0" baseline="0">
              <a:solidFill>
                <a:schemeClr val="tx1"/>
              </a:solidFill>
              <a:uFill>
                <a:solidFill>
                  <a:schemeClr val="tx1"/>
                </a:solidFill>
              </a:u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u="none" strike="noStrike" kern="1200" cap="none" spc="0" normalizeH="0">
          <a:solidFill>
            <a:schemeClr val="tx1"/>
          </a:solidFill>
          <a:uFill>
            <a:solidFill>
              <a:schemeClr val="tx1"/>
            </a:solidFill>
          </a:uFill>
          <a:latin typeface="Times New Roman" panose="02020603050405020304" charset="0"/>
          <a:cs typeface="Times New Roman" panose="02020603050405020304"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[CJT.xlsm]Sheet1!$C$66</c:f>
              <c:strCache>
                <c:ptCount val="1"/>
                <c:pt idx="0">
                  <c:v>2</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[CJT.xlsm]Sheet1!$D$65:$E$65</c:f>
              <c:strCache>
                <c:ptCount val="2"/>
                <c:pt idx="0">
                  <c:v>5% UE</c:v>
                </c:pt>
                <c:pt idx="1">
                  <c:v>average</c:v>
                </c:pt>
              </c:strCache>
            </c:strRef>
          </c:cat>
          <c:val>
            <c:numRef>
              <c:f>[CJT.xlsm]Sheet1!$D$66:$E$66</c:f>
              <c:numCache>
                <c:formatCode>0%</c:formatCode>
                <c:ptCount val="2"/>
                <c:pt idx="0">
                  <c:v>1</c:v>
                </c:pt>
                <c:pt idx="1">
                  <c:v>1</c:v>
                </c:pt>
              </c:numCache>
            </c:numRef>
          </c:val>
          <c:extLst>
            <c:ext xmlns:c16="http://schemas.microsoft.com/office/drawing/2014/chart" uri="{C3380CC4-5D6E-409C-BE32-E72D297353CC}">
              <c16:uniqueId val="{00000000-2501-4CF9-9A3A-B55CC2B7052E}"/>
            </c:ext>
          </c:extLst>
        </c:ser>
        <c:ser>
          <c:idx val="1"/>
          <c:order val="1"/>
          <c:tx>
            <c:strRef>
              <c:f>[CJT.xlsm]Sheet1!$C$67</c:f>
              <c:strCache>
                <c:ptCount val="1"/>
                <c:pt idx="0">
                  <c:v>3</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[CJT.xlsm]Sheet1!$D$65:$E$65</c:f>
              <c:strCache>
                <c:ptCount val="2"/>
                <c:pt idx="0">
                  <c:v>5% UE</c:v>
                </c:pt>
                <c:pt idx="1">
                  <c:v>average</c:v>
                </c:pt>
              </c:strCache>
            </c:strRef>
          </c:cat>
          <c:val>
            <c:numRef>
              <c:f>[CJT.xlsm]Sheet1!$D$67:$E$67</c:f>
              <c:numCache>
                <c:formatCode>0%</c:formatCode>
                <c:ptCount val="2"/>
                <c:pt idx="0">
                  <c:v>1.0448096398270901</c:v>
                </c:pt>
                <c:pt idx="1">
                  <c:v>1.02950914056569</c:v>
                </c:pt>
              </c:numCache>
            </c:numRef>
          </c:val>
          <c:extLst>
            <c:ext xmlns:c16="http://schemas.microsoft.com/office/drawing/2014/chart" uri="{C3380CC4-5D6E-409C-BE32-E72D297353CC}">
              <c16:uniqueId val="{00000001-2501-4CF9-9A3A-B55CC2B7052E}"/>
            </c:ext>
          </c:extLst>
        </c:ser>
        <c:ser>
          <c:idx val="2"/>
          <c:order val="2"/>
          <c:tx>
            <c:strRef>
              <c:f>[CJT.xlsm]Sheet1!$C$68</c:f>
              <c:strCache>
                <c:ptCount val="1"/>
                <c:pt idx="0">
                  <c:v>4</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[CJT.xlsm]Sheet1!$D$65:$E$65</c:f>
              <c:strCache>
                <c:ptCount val="2"/>
                <c:pt idx="0">
                  <c:v>5% UE</c:v>
                </c:pt>
                <c:pt idx="1">
                  <c:v>average</c:v>
                </c:pt>
              </c:strCache>
            </c:strRef>
          </c:cat>
          <c:val>
            <c:numRef>
              <c:f>[CJT.xlsm]Sheet1!$D$68:$E$68</c:f>
              <c:numCache>
                <c:formatCode>0%</c:formatCode>
                <c:ptCount val="2"/>
                <c:pt idx="0">
                  <c:v>1.07850390515734</c:v>
                </c:pt>
                <c:pt idx="1">
                  <c:v>1.0340469912289001</c:v>
                </c:pt>
              </c:numCache>
            </c:numRef>
          </c:val>
          <c:extLst>
            <c:ext xmlns:c16="http://schemas.microsoft.com/office/drawing/2014/chart" uri="{C3380CC4-5D6E-409C-BE32-E72D297353CC}">
              <c16:uniqueId val="{00000002-2501-4CF9-9A3A-B55CC2B7052E}"/>
            </c:ext>
          </c:extLst>
        </c:ser>
        <c:ser>
          <c:idx val="3"/>
          <c:order val="3"/>
          <c:tx>
            <c:strRef>
              <c:f>[CJT.xlsm]Sheet1!$C$69</c:f>
              <c:strCache>
                <c:ptCount val="1"/>
                <c:pt idx="0">
                  <c:v>5</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[CJT.xlsm]Sheet1!$D$65:$E$65</c:f>
              <c:strCache>
                <c:ptCount val="2"/>
                <c:pt idx="0">
                  <c:v>5% UE</c:v>
                </c:pt>
                <c:pt idx="1">
                  <c:v>average</c:v>
                </c:pt>
              </c:strCache>
            </c:strRef>
          </c:cat>
          <c:val>
            <c:numRef>
              <c:f>[CJT.xlsm]Sheet1!$D$69:$E$69</c:f>
              <c:numCache>
                <c:formatCode>0%</c:formatCode>
                <c:ptCount val="2"/>
                <c:pt idx="0">
                  <c:v>1.0530101063038799</c:v>
                </c:pt>
                <c:pt idx="1">
                  <c:v>1.03448399321122</c:v>
                </c:pt>
              </c:numCache>
            </c:numRef>
          </c:val>
          <c:extLst>
            <c:ext xmlns:c16="http://schemas.microsoft.com/office/drawing/2014/chart" uri="{C3380CC4-5D6E-409C-BE32-E72D297353CC}">
              <c16:uniqueId val="{00000003-2501-4CF9-9A3A-B55CC2B7052E}"/>
            </c:ext>
          </c:extLst>
        </c:ser>
        <c:ser>
          <c:idx val="4"/>
          <c:order val="4"/>
          <c:tx>
            <c:strRef>
              <c:f>[CJT.xlsm]Sheet1!$C$70</c:f>
              <c:strCache>
                <c:ptCount val="1"/>
                <c:pt idx="0">
                  <c:v>6</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[CJT.xlsm]Sheet1!$D$65:$E$65</c:f>
              <c:strCache>
                <c:ptCount val="2"/>
                <c:pt idx="0">
                  <c:v>5% UE</c:v>
                </c:pt>
                <c:pt idx="1">
                  <c:v>average</c:v>
                </c:pt>
              </c:strCache>
            </c:strRef>
          </c:cat>
          <c:val>
            <c:numRef>
              <c:f>[CJT.xlsm]Sheet1!$D$70:$E$70</c:f>
              <c:numCache>
                <c:formatCode>0%</c:formatCode>
                <c:ptCount val="2"/>
                <c:pt idx="0">
                  <c:v>1.05152249663868</c:v>
                </c:pt>
                <c:pt idx="1">
                  <c:v>1.0367249908067999</c:v>
                </c:pt>
              </c:numCache>
            </c:numRef>
          </c:val>
          <c:extLst>
            <c:ext xmlns:c16="http://schemas.microsoft.com/office/drawing/2014/chart" uri="{C3380CC4-5D6E-409C-BE32-E72D297353CC}">
              <c16:uniqueId val="{00000004-2501-4CF9-9A3A-B55CC2B7052E}"/>
            </c:ext>
          </c:extLst>
        </c:ser>
        <c:dLbls>
          <c:showLegendKey val="0"/>
          <c:showVal val="1"/>
          <c:showCatName val="0"/>
          <c:showSerName val="0"/>
          <c:showPercent val="0"/>
          <c:showBubbleSize val="0"/>
        </c:dLbls>
        <c:gapWidth val="219"/>
        <c:overlap val="-27"/>
        <c:axId val="684337983"/>
        <c:axId val="753474485"/>
      </c:barChart>
      <c:catAx>
        <c:axId val="68433798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753474485"/>
        <c:crosses val="autoZero"/>
        <c:auto val="1"/>
        <c:lblAlgn val="ctr"/>
        <c:lblOffset val="100"/>
        <c:noMultiLvlLbl val="0"/>
      </c:catAx>
      <c:valAx>
        <c:axId val="753474485"/>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43379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[CJT.xlsm]Sheet1!$C$84</c:f>
              <c:strCache>
                <c:ptCount val="1"/>
                <c:pt idx="0">
                  <c:v>2</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[CJT.xlsm]Sheet1!$D$83:$E$83</c:f>
              <c:strCache>
                <c:ptCount val="2"/>
                <c:pt idx="0">
                  <c:v>5% UE</c:v>
                </c:pt>
                <c:pt idx="1">
                  <c:v>average</c:v>
                </c:pt>
              </c:strCache>
            </c:strRef>
          </c:cat>
          <c:val>
            <c:numRef>
              <c:f>[CJT.xlsm]Sheet1!$D$84:$E$84</c:f>
              <c:numCache>
                <c:formatCode>0%</c:formatCode>
                <c:ptCount val="2"/>
                <c:pt idx="0">
                  <c:v>1</c:v>
                </c:pt>
                <c:pt idx="1">
                  <c:v>1</c:v>
                </c:pt>
              </c:numCache>
            </c:numRef>
          </c:val>
          <c:extLst>
            <c:ext xmlns:c16="http://schemas.microsoft.com/office/drawing/2014/chart" uri="{C3380CC4-5D6E-409C-BE32-E72D297353CC}">
              <c16:uniqueId val="{00000000-BDB6-4159-9561-4C59CC608BF3}"/>
            </c:ext>
          </c:extLst>
        </c:ser>
        <c:ser>
          <c:idx val="1"/>
          <c:order val="1"/>
          <c:tx>
            <c:strRef>
              <c:f>[CJT.xlsm]Sheet1!$C$85</c:f>
              <c:strCache>
                <c:ptCount val="1"/>
                <c:pt idx="0">
                  <c:v>3</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[CJT.xlsm]Sheet1!$D$83:$E$83</c:f>
              <c:strCache>
                <c:ptCount val="2"/>
                <c:pt idx="0">
                  <c:v>5% UE</c:v>
                </c:pt>
                <c:pt idx="1">
                  <c:v>average</c:v>
                </c:pt>
              </c:strCache>
            </c:strRef>
          </c:cat>
          <c:val>
            <c:numRef>
              <c:f>[CJT.xlsm]Sheet1!$D$85:$E$85</c:f>
              <c:numCache>
                <c:formatCode>0%</c:formatCode>
                <c:ptCount val="2"/>
                <c:pt idx="0">
                  <c:v>1.3326046041776001</c:v>
                </c:pt>
                <c:pt idx="1">
                  <c:v>1.11007206767669</c:v>
                </c:pt>
              </c:numCache>
            </c:numRef>
          </c:val>
          <c:extLst>
            <c:ext xmlns:c16="http://schemas.microsoft.com/office/drawing/2014/chart" uri="{C3380CC4-5D6E-409C-BE32-E72D297353CC}">
              <c16:uniqueId val="{00000001-BDB6-4159-9561-4C59CC608BF3}"/>
            </c:ext>
          </c:extLst>
        </c:ser>
        <c:ser>
          <c:idx val="2"/>
          <c:order val="2"/>
          <c:tx>
            <c:strRef>
              <c:f>[CJT.xlsm]Sheet1!$C$86</c:f>
              <c:strCache>
                <c:ptCount val="1"/>
                <c:pt idx="0">
                  <c:v>4</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[CJT.xlsm]Sheet1!$D$83:$E$83</c:f>
              <c:strCache>
                <c:ptCount val="2"/>
                <c:pt idx="0">
                  <c:v>5% UE</c:v>
                </c:pt>
                <c:pt idx="1">
                  <c:v>average</c:v>
                </c:pt>
              </c:strCache>
            </c:strRef>
          </c:cat>
          <c:val>
            <c:numRef>
              <c:f>[CJT.xlsm]Sheet1!$D$86:$E$86</c:f>
              <c:numCache>
                <c:formatCode>0%</c:formatCode>
                <c:ptCount val="2"/>
                <c:pt idx="0">
                  <c:v>1.56860796519913</c:v>
                </c:pt>
                <c:pt idx="1">
                  <c:v>1.18988110876625</c:v>
                </c:pt>
              </c:numCache>
            </c:numRef>
          </c:val>
          <c:extLst>
            <c:ext xmlns:c16="http://schemas.microsoft.com/office/drawing/2014/chart" uri="{C3380CC4-5D6E-409C-BE32-E72D297353CC}">
              <c16:uniqueId val="{00000002-BDB6-4159-9561-4C59CC608BF3}"/>
            </c:ext>
          </c:extLst>
        </c:ser>
        <c:ser>
          <c:idx val="3"/>
          <c:order val="3"/>
          <c:tx>
            <c:strRef>
              <c:f>[CJT.xlsm]Sheet1!$C$87</c:f>
              <c:strCache>
                <c:ptCount val="1"/>
                <c:pt idx="0">
                  <c:v>5</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[CJT.xlsm]Sheet1!$D$83:$E$83</c:f>
              <c:strCache>
                <c:ptCount val="2"/>
                <c:pt idx="0">
                  <c:v>5% UE</c:v>
                </c:pt>
                <c:pt idx="1">
                  <c:v>average</c:v>
                </c:pt>
              </c:strCache>
            </c:strRef>
          </c:cat>
          <c:val>
            <c:numRef>
              <c:f>[CJT.xlsm]Sheet1!$D$87:$E$87</c:f>
              <c:numCache>
                <c:formatCode>0%</c:formatCode>
                <c:ptCount val="2"/>
                <c:pt idx="0">
                  <c:v>1.76284934467112</c:v>
                </c:pt>
                <c:pt idx="1">
                  <c:v>1.1992867511442999</c:v>
                </c:pt>
              </c:numCache>
            </c:numRef>
          </c:val>
          <c:extLst>
            <c:ext xmlns:c16="http://schemas.microsoft.com/office/drawing/2014/chart" uri="{C3380CC4-5D6E-409C-BE32-E72D297353CC}">
              <c16:uniqueId val="{00000003-BDB6-4159-9561-4C59CC608BF3}"/>
            </c:ext>
          </c:extLst>
        </c:ser>
        <c:ser>
          <c:idx val="4"/>
          <c:order val="4"/>
          <c:tx>
            <c:strRef>
              <c:f>[CJT.xlsm]Sheet1!$C$88</c:f>
              <c:strCache>
                <c:ptCount val="1"/>
                <c:pt idx="0">
                  <c:v>6</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lang="zh-CN"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[CJT.xlsm]Sheet1!$D$83:$E$83</c:f>
              <c:strCache>
                <c:ptCount val="2"/>
                <c:pt idx="0">
                  <c:v>5% UE</c:v>
                </c:pt>
                <c:pt idx="1">
                  <c:v>average</c:v>
                </c:pt>
              </c:strCache>
            </c:strRef>
          </c:cat>
          <c:val>
            <c:numRef>
              <c:f>[CJT.xlsm]Sheet1!$D$88:$E$88</c:f>
              <c:numCache>
                <c:formatCode>0%</c:formatCode>
                <c:ptCount val="2"/>
                <c:pt idx="0">
                  <c:v>1.86075667516688</c:v>
                </c:pt>
                <c:pt idx="1">
                  <c:v>1.2127996594674499</c:v>
                </c:pt>
              </c:numCache>
            </c:numRef>
          </c:val>
          <c:extLst>
            <c:ext xmlns:c16="http://schemas.microsoft.com/office/drawing/2014/chart" uri="{C3380CC4-5D6E-409C-BE32-E72D297353CC}">
              <c16:uniqueId val="{00000004-BDB6-4159-9561-4C59CC608BF3}"/>
            </c:ext>
          </c:extLst>
        </c:ser>
        <c:dLbls>
          <c:showLegendKey val="0"/>
          <c:showVal val="1"/>
          <c:showCatName val="0"/>
          <c:showSerName val="0"/>
          <c:showPercent val="0"/>
          <c:showBubbleSize val="0"/>
        </c:dLbls>
        <c:gapWidth val="219"/>
        <c:overlap val="-27"/>
        <c:axId val="182911539"/>
        <c:axId val="62974399"/>
      </c:barChart>
      <c:catAx>
        <c:axId val="182911539"/>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2974399"/>
        <c:crosses val="autoZero"/>
        <c:auto val="1"/>
        <c:lblAlgn val="ctr"/>
        <c:lblOffset val="100"/>
        <c:noMultiLvlLbl val="0"/>
      </c:catAx>
      <c:valAx>
        <c:axId val="62974399"/>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829115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720" b="0" i="0" u="none" strike="noStrike" kern="1200" spc="0" baseline="0">
                <a:solidFill>
                  <a:schemeClr val="tx1"/>
                </a:solidFill>
                <a:latin typeface="+mn-lt"/>
                <a:ea typeface="+mn-ea"/>
                <a:cs typeface="+mn-cs"/>
              </a:defRPr>
            </a:pPr>
            <a:r>
              <a:rPr lang="en-US"/>
              <a:t>EType II 5%-ile</a:t>
            </a:r>
          </a:p>
        </c:rich>
      </c:tx>
      <c:overlay val="0"/>
      <c:spPr>
        <a:noFill/>
        <a:ln>
          <a:noFill/>
        </a:ln>
        <a:effectLst/>
      </c:spPr>
      <c:txPr>
        <a:bodyPr rot="0" spcFirstLastPara="1" vertOverflow="ellipsis" vert="horz" wrap="square" anchor="ctr" anchorCtr="1"/>
        <a:lstStyle/>
        <a:p>
          <a:pPr>
            <a:defRPr lang="zh-CN" sz="72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[CBSR仿真数据_6.xlsx]Sheet1!$C$53</c:f>
              <c:strCache>
                <c:ptCount val="1"/>
                <c:pt idx="0">
                  <c:v>HSFSD deactivated</c:v>
                </c:pt>
              </c:strCache>
            </c:strRef>
          </c:tx>
          <c:spPr>
            <a:solidFill>
              <a:srgbClr val="0070C0"/>
            </a:solidFill>
            <a:ln>
              <a:noFill/>
            </a:ln>
            <a:effectLst/>
          </c:spPr>
          <c:invertIfNegative val="0"/>
          <c:dLbls>
            <c:dLbl>
              <c:idx val="0"/>
              <c:layout>
                <c:manualLayout>
                  <c:x val="-1.748633879781420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1CE-4A87-9B0C-452914C243E3}"/>
                </c:ext>
              </c:extLst>
            </c:dLbl>
            <c:dLbl>
              <c:idx val="2"/>
              <c:layout>
                <c:manualLayout>
                  <c:x val="-1.3114754098360656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1CE-4A87-9B0C-452914C243E3}"/>
                </c:ext>
              </c:extLst>
            </c:dLbl>
            <c:numFmt formatCode="0.00%" sourceLinked="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rgbClr val="008ED3">
                          <a:lumMod val="35000"/>
                          <a:lumOff val="65000"/>
                        </a:srgbClr>
                      </a:solidFill>
                      <a:round/>
                    </a:ln>
                    <a:effectLst/>
                  </c:spPr>
                </c15:leaderLines>
              </c:ext>
            </c:extLst>
          </c:dLbls>
          <c:cat>
            <c:strRef>
              <c:f>[CBSR仿真数据_6.xlsx]Sheet1!$D$47:$F$47</c:f>
              <c:strCache>
                <c:ptCount val="3"/>
                <c:pt idx="0">
                  <c:v>32T</c:v>
                </c:pt>
                <c:pt idx="1">
                  <c:v>64T</c:v>
                </c:pt>
                <c:pt idx="2">
                  <c:v>128T</c:v>
                </c:pt>
              </c:strCache>
            </c:strRef>
          </c:cat>
          <c:val>
            <c:numRef>
              <c:f>[CBSR仿真数据_6.xlsx]Sheet1!$D$53:$F$53</c:f>
              <c:numCache>
                <c:formatCode>General</c:formatCode>
                <c:ptCount val="3"/>
                <c:pt idx="0">
                  <c:v>1.0195580073411099</c:v>
                </c:pt>
                <c:pt idx="1">
                  <c:v>1.0421398340172501</c:v>
                </c:pt>
                <c:pt idx="2">
                  <c:v>1.01460154068529</c:v>
                </c:pt>
              </c:numCache>
            </c:numRef>
          </c:val>
          <c:extLst>
            <c:ext xmlns:c16="http://schemas.microsoft.com/office/drawing/2014/chart" uri="{C3380CC4-5D6E-409C-BE32-E72D297353CC}">
              <c16:uniqueId val="{00000000-21CE-4A87-9B0C-452914C243E3}"/>
            </c:ext>
          </c:extLst>
        </c:ser>
        <c:ser>
          <c:idx val="1"/>
          <c:order val="1"/>
          <c:tx>
            <c:strRef>
              <c:f>[CBSR仿真数据_6.xlsx]Sheet1!$C$54</c:f>
              <c:strCache>
                <c:ptCount val="1"/>
                <c:pt idx="0">
                  <c:v>HSFSD activated</c:v>
                </c:pt>
              </c:strCache>
            </c:strRef>
          </c:tx>
          <c:spPr>
            <a:solidFill>
              <a:srgbClr val="C0504D"/>
            </a:solidFill>
            <a:ln>
              <a:noFill/>
            </a:ln>
            <a:effectLst/>
          </c:spPr>
          <c:invertIfNegative val="0"/>
          <c:dLbls>
            <c:dLbl>
              <c:idx val="1"/>
              <c:layout>
                <c:manualLayout>
                  <c:x val="2.185792349726776E-2"/>
                  <c:y val="-2.7420163846169292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1CE-4A87-9B0C-452914C243E3}"/>
                </c:ext>
              </c:extLst>
            </c:dLbl>
            <c:dLbl>
              <c:idx val="2"/>
              <c:layout>
                <c:manualLayout>
                  <c:x val="8.7431693989071038E-3"/>
                  <c:y val="5.98265031408911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1CE-4A87-9B0C-452914C243E3}"/>
                </c:ext>
              </c:extLst>
            </c:dLbl>
            <c:numFmt formatCode="0.00%" sourceLinked="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rgbClr val="008ED3">
                          <a:lumMod val="35000"/>
                          <a:lumOff val="65000"/>
                        </a:srgbClr>
                      </a:solidFill>
                      <a:round/>
                    </a:ln>
                    <a:effectLst/>
                  </c:spPr>
                </c15:leaderLines>
              </c:ext>
            </c:extLst>
          </c:dLbls>
          <c:cat>
            <c:strRef>
              <c:f>[CBSR仿真数据_6.xlsx]Sheet1!$D$47:$F$47</c:f>
              <c:strCache>
                <c:ptCount val="3"/>
                <c:pt idx="0">
                  <c:v>32T</c:v>
                </c:pt>
                <c:pt idx="1">
                  <c:v>64T</c:v>
                </c:pt>
                <c:pt idx="2">
                  <c:v>128T</c:v>
                </c:pt>
              </c:strCache>
            </c:strRef>
          </c:cat>
          <c:val>
            <c:numRef>
              <c:f>[CBSR仿真数据_6.xlsx]Sheet1!$D$54:$F$54</c:f>
              <c:numCache>
                <c:formatCode>General</c:formatCode>
                <c:ptCount val="3"/>
                <c:pt idx="0">
                  <c:v>1</c:v>
                </c:pt>
                <c:pt idx="1">
                  <c:v>1</c:v>
                </c:pt>
                <c:pt idx="2">
                  <c:v>1</c:v>
                </c:pt>
              </c:numCache>
            </c:numRef>
          </c:val>
          <c:extLst>
            <c:ext xmlns:c16="http://schemas.microsoft.com/office/drawing/2014/chart" uri="{C3380CC4-5D6E-409C-BE32-E72D297353CC}">
              <c16:uniqueId val="{00000001-21CE-4A87-9B0C-452914C243E3}"/>
            </c:ext>
          </c:extLst>
        </c:ser>
        <c:dLbls>
          <c:showLegendKey val="0"/>
          <c:showVal val="1"/>
          <c:showCatName val="0"/>
          <c:showSerName val="0"/>
          <c:showPercent val="0"/>
          <c:showBubbleSize val="0"/>
        </c:dLbls>
        <c:gapWidth val="219"/>
        <c:overlap val="-27"/>
        <c:axId val="96293604"/>
        <c:axId val="337729738"/>
      </c:barChart>
      <c:catAx>
        <c:axId val="96293604"/>
        <c:scaling>
          <c:orientation val="minMax"/>
        </c:scaling>
        <c:delete val="0"/>
        <c:axPos val="b"/>
        <c:numFmt formatCode="General" sourceLinked="0"/>
        <c:majorTickMark val="none"/>
        <c:minorTickMark val="none"/>
        <c:tickLblPos val="nextTo"/>
        <c:spPr>
          <a:noFill/>
          <a:ln w="9525" cap="flat" cmpd="sng" algn="ctr">
            <a:solidFill>
              <a:srgbClr val="008ED3">
                <a:lumMod val="15000"/>
                <a:lumOff val="85000"/>
              </a:srgbClr>
            </a:solidFill>
            <a:round/>
          </a:ln>
          <a:effectLst/>
        </c:spPr>
        <c:txPr>
          <a:bodyPr rot="-6000000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crossAx val="337729738"/>
        <c:crosses val="autoZero"/>
        <c:auto val="1"/>
        <c:lblAlgn val="ctr"/>
        <c:lblOffset val="100"/>
        <c:noMultiLvlLbl val="0"/>
      </c:catAx>
      <c:valAx>
        <c:axId val="337729738"/>
        <c:scaling>
          <c:orientation val="minMax"/>
          <c:min val="0"/>
        </c:scaling>
        <c:delete val="0"/>
        <c:axPos val="l"/>
        <c:majorGridlines>
          <c:spPr>
            <a:ln w="9525" cap="flat" cmpd="sng" algn="ctr">
              <a:solidFill>
                <a:srgbClr val="008ED3">
                  <a:lumMod val="15000"/>
                  <a:lumOff val="85000"/>
                </a:srgb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crossAx val="96293604"/>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Entry>
      <c:legendEntry>
        <c:idx val="1"/>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rgbClr val="008ED3">
          <a:lumMod val="15000"/>
          <a:lumOff val="85000"/>
        </a:srgbClr>
      </a:solidFill>
      <a:round/>
    </a:ln>
    <a:effectLst/>
  </c:spPr>
  <c:txPr>
    <a:bodyPr/>
    <a:lstStyle/>
    <a:p>
      <a:pPr>
        <a:defRPr lang="zh-CN" sz="600">
          <a:solidFill>
            <a:schemeClr val="tx1"/>
          </a:solidFill>
        </a:defRPr>
      </a:pPr>
      <a:endParaRPr lang="zh-CN"/>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720" b="0" i="0" u="none" strike="noStrike" kern="1200" spc="0" baseline="0">
                <a:solidFill>
                  <a:schemeClr val="tx1"/>
                </a:solidFill>
                <a:latin typeface="+mn-lt"/>
                <a:ea typeface="+mn-ea"/>
                <a:cs typeface="+mn-cs"/>
              </a:defRPr>
            </a:pPr>
            <a:r>
              <a:rPr lang="en-US"/>
              <a:t>ETypeII Average</a:t>
            </a:r>
          </a:p>
        </c:rich>
      </c:tx>
      <c:overlay val="0"/>
      <c:spPr>
        <a:noFill/>
        <a:ln>
          <a:noFill/>
        </a:ln>
        <a:effectLst/>
      </c:spPr>
      <c:txPr>
        <a:bodyPr rot="0" spcFirstLastPara="1" vertOverflow="ellipsis" vert="horz" wrap="square" anchor="ctr" anchorCtr="1"/>
        <a:lstStyle/>
        <a:p>
          <a:pPr>
            <a:defRPr lang="zh-CN" sz="72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[CBSR仿真数据_6.xlsx]Sheet1!$C$48</c:f>
              <c:strCache>
                <c:ptCount val="1"/>
                <c:pt idx="0">
                  <c:v>HSFSD deactivated</c:v>
                </c:pt>
              </c:strCache>
            </c:strRef>
          </c:tx>
          <c:spPr>
            <a:solidFill>
              <a:srgbClr val="0070C0"/>
            </a:solidFill>
            <a:ln>
              <a:noFill/>
            </a:ln>
            <a:effectLst/>
          </c:spPr>
          <c:invertIfNegative val="0"/>
          <c:dLbls>
            <c:dLbl>
              <c:idx val="0"/>
              <c:layout>
                <c:manualLayout>
                  <c:x val="-2.6229508196721332E-2"/>
                  <c:y val="-5.982650314089168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66F-421F-8BA0-229C75060A70}"/>
                </c:ext>
              </c:extLst>
            </c:dLbl>
            <c:dLbl>
              <c:idx val="1"/>
              <c:layout>
                <c:manualLayout>
                  <c:x val="-1.7486338797814208E-2"/>
                  <c:y val="-5.982650314089141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66F-421F-8BA0-229C75060A70}"/>
                </c:ext>
              </c:extLst>
            </c:dLbl>
            <c:dLbl>
              <c:idx val="2"/>
              <c:layout>
                <c:manualLayout>
                  <c:x val="-3.0601092896174943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66F-421F-8BA0-229C75060A70}"/>
                </c:ext>
              </c:extLst>
            </c:dLbl>
            <c:numFmt formatCode="0.00%" sourceLinked="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rgbClr val="008ED3">
                          <a:lumMod val="35000"/>
                          <a:lumOff val="65000"/>
                        </a:srgbClr>
                      </a:solidFill>
                      <a:round/>
                    </a:ln>
                    <a:effectLst/>
                  </c:spPr>
                </c15:leaderLines>
              </c:ext>
            </c:extLst>
          </c:dLbls>
          <c:cat>
            <c:strRef>
              <c:f>[CBSR仿真数据_6.xlsx]Sheet1!$D$47:$F$47</c:f>
              <c:strCache>
                <c:ptCount val="3"/>
                <c:pt idx="0">
                  <c:v>32T</c:v>
                </c:pt>
                <c:pt idx="1">
                  <c:v>64T</c:v>
                </c:pt>
                <c:pt idx="2">
                  <c:v>128T</c:v>
                </c:pt>
              </c:strCache>
            </c:strRef>
          </c:cat>
          <c:val>
            <c:numRef>
              <c:f>[CBSR仿真数据_6.xlsx]Sheet1!$D$48:$F$48</c:f>
              <c:numCache>
                <c:formatCode>General</c:formatCode>
                <c:ptCount val="3"/>
                <c:pt idx="0">
                  <c:v>1.00301819368195</c:v>
                </c:pt>
                <c:pt idx="1">
                  <c:v>0.99741418915804303</c:v>
                </c:pt>
                <c:pt idx="2">
                  <c:v>1.0017855607628201</c:v>
                </c:pt>
              </c:numCache>
            </c:numRef>
          </c:val>
          <c:extLst>
            <c:ext xmlns:c16="http://schemas.microsoft.com/office/drawing/2014/chart" uri="{C3380CC4-5D6E-409C-BE32-E72D297353CC}">
              <c16:uniqueId val="{00000000-D66F-421F-8BA0-229C75060A70}"/>
            </c:ext>
          </c:extLst>
        </c:ser>
        <c:ser>
          <c:idx val="1"/>
          <c:order val="1"/>
          <c:tx>
            <c:strRef>
              <c:f>[CBSR仿真数据_6.xlsx]Sheet1!$C$49</c:f>
              <c:strCache>
                <c:ptCount val="1"/>
                <c:pt idx="0">
                  <c:v>HSFSD activated</c:v>
                </c:pt>
              </c:strCache>
            </c:strRef>
          </c:tx>
          <c:spPr>
            <a:solidFill>
              <a:srgbClr val="C0504D"/>
            </a:solidFill>
            <a:ln>
              <a:noFill/>
            </a:ln>
            <a:effectLst/>
          </c:spPr>
          <c:invertIfNegative val="0"/>
          <c:dLbls>
            <c:numFmt formatCode="0.00%" sourceLinked="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rgbClr val="008ED3">
                          <a:lumMod val="35000"/>
                          <a:lumOff val="65000"/>
                        </a:srgbClr>
                      </a:solidFill>
                      <a:round/>
                    </a:ln>
                    <a:effectLst/>
                  </c:spPr>
                </c15:leaderLines>
              </c:ext>
            </c:extLst>
          </c:dLbls>
          <c:cat>
            <c:strRef>
              <c:f>[CBSR仿真数据_6.xlsx]Sheet1!$D$47:$F$47</c:f>
              <c:strCache>
                <c:ptCount val="3"/>
                <c:pt idx="0">
                  <c:v>32T</c:v>
                </c:pt>
                <c:pt idx="1">
                  <c:v>64T</c:v>
                </c:pt>
                <c:pt idx="2">
                  <c:v>128T</c:v>
                </c:pt>
              </c:strCache>
            </c:strRef>
          </c:cat>
          <c:val>
            <c:numRef>
              <c:f>[CBSR仿真数据_6.xlsx]Sheet1!$D$49:$F$49</c:f>
              <c:numCache>
                <c:formatCode>General</c:formatCode>
                <c:ptCount val="3"/>
                <c:pt idx="0">
                  <c:v>1</c:v>
                </c:pt>
                <c:pt idx="1">
                  <c:v>1</c:v>
                </c:pt>
                <c:pt idx="2">
                  <c:v>1</c:v>
                </c:pt>
              </c:numCache>
            </c:numRef>
          </c:val>
          <c:extLst>
            <c:ext xmlns:c16="http://schemas.microsoft.com/office/drawing/2014/chart" uri="{C3380CC4-5D6E-409C-BE32-E72D297353CC}">
              <c16:uniqueId val="{00000001-D66F-421F-8BA0-229C75060A70}"/>
            </c:ext>
          </c:extLst>
        </c:ser>
        <c:dLbls>
          <c:showLegendKey val="0"/>
          <c:showVal val="1"/>
          <c:showCatName val="0"/>
          <c:showSerName val="0"/>
          <c:showPercent val="0"/>
          <c:showBubbleSize val="0"/>
        </c:dLbls>
        <c:gapWidth val="219"/>
        <c:overlap val="-27"/>
        <c:axId val="96293604"/>
        <c:axId val="337729738"/>
      </c:barChart>
      <c:catAx>
        <c:axId val="96293604"/>
        <c:scaling>
          <c:orientation val="minMax"/>
        </c:scaling>
        <c:delete val="0"/>
        <c:axPos val="b"/>
        <c:numFmt formatCode="General" sourceLinked="0"/>
        <c:majorTickMark val="none"/>
        <c:minorTickMark val="none"/>
        <c:tickLblPos val="nextTo"/>
        <c:spPr>
          <a:noFill/>
          <a:ln w="9525" cap="flat" cmpd="sng" algn="ctr">
            <a:solidFill>
              <a:srgbClr val="008ED3">
                <a:lumMod val="15000"/>
                <a:lumOff val="85000"/>
              </a:srgbClr>
            </a:solidFill>
            <a:round/>
          </a:ln>
          <a:effectLst/>
        </c:spPr>
        <c:txPr>
          <a:bodyPr rot="-6000000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crossAx val="337729738"/>
        <c:crosses val="autoZero"/>
        <c:auto val="1"/>
        <c:lblAlgn val="ctr"/>
        <c:lblOffset val="100"/>
        <c:noMultiLvlLbl val="0"/>
      </c:catAx>
      <c:valAx>
        <c:axId val="337729738"/>
        <c:scaling>
          <c:orientation val="minMax"/>
          <c:min val="0"/>
        </c:scaling>
        <c:delete val="0"/>
        <c:axPos val="l"/>
        <c:majorGridlines>
          <c:spPr>
            <a:ln w="9525" cap="flat" cmpd="sng" algn="ctr">
              <a:solidFill>
                <a:srgbClr val="008ED3">
                  <a:lumMod val="15000"/>
                  <a:lumOff val="85000"/>
                </a:srgb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crossAx val="96293604"/>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Entry>
      <c:legendEntry>
        <c:idx val="1"/>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rgbClr val="008ED3">
          <a:lumMod val="15000"/>
          <a:lumOff val="85000"/>
        </a:srgbClr>
      </a:solidFill>
      <a:round/>
    </a:ln>
    <a:effectLst/>
  </c:spPr>
  <c:txPr>
    <a:bodyPr/>
    <a:lstStyle/>
    <a:p>
      <a:pPr>
        <a:defRPr lang="zh-CN" sz="600">
          <a:solidFill>
            <a:schemeClr val="tx1"/>
          </a:solidFill>
        </a:defRPr>
      </a:pPr>
      <a:endParaRPr lang="zh-CN"/>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720" b="0" i="0" u="none" strike="noStrike" kern="1200" spc="0" baseline="0">
                <a:solidFill>
                  <a:schemeClr val="tx1"/>
                </a:solidFill>
                <a:latin typeface="+mn-lt"/>
                <a:ea typeface="+mn-ea"/>
                <a:cs typeface="+mn-cs"/>
              </a:defRPr>
            </a:pPr>
            <a:r>
              <a:rPr lang="en-US"/>
              <a:t>TypeI Average </a:t>
            </a:r>
          </a:p>
        </c:rich>
      </c:tx>
      <c:overlay val="0"/>
      <c:spPr>
        <a:noFill/>
        <a:ln>
          <a:noFill/>
        </a:ln>
        <a:effectLst/>
      </c:spPr>
      <c:txPr>
        <a:bodyPr rot="0" spcFirstLastPara="1" vertOverflow="ellipsis" vert="horz" wrap="square" anchor="ctr" anchorCtr="1"/>
        <a:lstStyle/>
        <a:p>
          <a:pPr>
            <a:defRPr lang="zh-CN" sz="72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[CBSR仿真数据_6.xlsx]Sheet1!$K$101</c:f>
              <c:strCache>
                <c:ptCount val="1"/>
                <c:pt idx="0">
                  <c:v>HSFSD deactivated</c:v>
                </c:pt>
              </c:strCache>
            </c:strRef>
          </c:tx>
          <c:spPr>
            <a:solidFill>
              <a:srgbClr val="0070C0"/>
            </a:solidFill>
            <a:ln>
              <a:noFill/>
            </a:ln>
            <a:effectLst/>
          </c:spPr>
          <c:invertIfNegative val="0"/>
          <c:dLbls>
            <c:dLbl>
              <c:idx val="0"/>
              <c:layout>
                <c:manualLayout>
                  <c:x val="-8.7431693989071437E-3"/>
                  <c:y val="-5.805515239477503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CD5-4DFB-9359-29583BB0314B}"/>
                </c:ext>
              </c:extLst>
            </c:dLbl>
            <c:dLbl>
              <c:idx val="1"/>
              <c:layout>
                <c:manualLayout>
                  <c:x val="-2.6229508196721391E-2"/>
                  <c:y val="-5.805515239477530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CD5-4DFB-9359-29583BB0314B}"/>
                </c:ext>
              </c:extLst>
            </c:dLbl>
            <c:dLbl>
              <c:idx val="2"/>
              <c:layout>
                <c:manualLayout>
                  <c:x val="-1.7486338797814287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CD5-4DFB-9359-29583BB0314B}"/>
                </c:ext>
              </c:extLst>
            </c:dLbl>
            <c:numFmt formatCode="0.00%" sourceLinked="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rgbClr val="008ED3">
                          <a:lumMod val="35000"/>
                          <a:lumOff val="65000"/>
                        </a:srgbClr>
                      </a:solidFill>
                      <a:round/>
                    </a:ln>
                    <a:effectLst/>
                  </c:spPr>
                </c15:leaderLines>
              </c:ext>
            </c:extLst>
          </c:dLbls>
          <c:cat>
            <c:multiLvlStrRef>
              <c:f>[CBSR仿真数据_6.xlsx]Sheet1!$Q$99:$S$100</c:f>
              <c:multiLvlStrCache>
                <c:ptCount val="3"/>
                <c:lvl>
                  <c:pt idx="0">
                    <c:v>32T</c:v>
                  </c:pt>
                  <c:pt idx="1">
                    <c:v>64T</c:v>
                  </c:pt>
                  <c:pt idx="2">
                    <c:v>128T</c:v>
                  </c:pt>
                </c:lvl>
                <c:lvl/>
              </c:multiLvlStrCache>
            </c:multiLvlStrRef>
          </c:cat>
          <c:val>
            <c:numRef>
              <c:f>[CBSR仿真数据_6.xlsx]Sheet1!$Q$101:$S$101</c:f>
              <c:numCache>
                <c:formatCode>General</c:formatCode>
                <c:ptCount val="3"/>
                <c:pt idx="0">
                  <c:v>1.00753078209185</c:v>
                </c:pt>
                <c:pt idx="1">
                  <c:v>1.0041919958646199</c:v>
                </c:pt>
                <c:pt idx="2">
                  <c:v>1.00215343917723</c:v>
                </c:pt>
              </c:numCache>
            </c:numRef>
          </c:val>
          <c:extLst>
            <c:ext xmlns:c16="http://schemas.microsoft.com/office/drawing/2014/chart" uri="{C3380CC4-5D6E-409C-BE32-E72D297353CC}">
              <c16:uniqueId val="{00000000-9CD5-4DFB-9359-29583BB0314B}"/>
            </c:ext>
          </c:extLst>
        </c:ser>
        <c:ser>
          <c:idx val="1"/>
          <c:order val="1"/>
          <c:tx>
            <c:strRef>
              <c:f>[CBSR仿真数据_6.xlsx]Sheet1!$K$102</c:f>
              <c:strCache>
                <c:ptCount val="1"/>
                <c:pt idx="0">
                  <c:v>HSFSD activated</c:v>
                </c:pt>
              </c:strCache>
            </c:strRef>
          </c:tx>
          <c:spPr>
            <a:solidFill>
              <a:srgbClr val="C0504D"/>
            </a:solidFill>
            <a:ln>
              <a:noFill/>
            </a:ln>
            <a:effectLst/>
          </c:spPr>
          <c:invertIfNegative val="0"/>
          <c:dLbls>
            <c:numFmt formatCode="0.00%" sourceLinked="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rgbClr val="008ED3">
                          <a:lumMod val="35000"/>
                          <a:lumOff val="65000"/>
                        </a:srgbClr>
                      </a:solidFill>
                      <a:round/>
                    </a:ln>
                    <a:effectLst/>
                  </c:spPr>
                </c15:leaderLines>
              </c:ext>
            </c:extLst>
          </c:dLbls>
          <c:cat>
            <c:multiLvlStrRef>
              <c:f>[CBSR仿真数据_6.xlsx]Sheet1!$Q$99:$S$100</c:f>
              <c:multiLvlStrCache>
                <c:ptCount val="3"/>
                <c:lvl>
                  <c:pt idx="0">
                    <c:v>32T</c:v>
                  </c:pt>
                  <c:pt idx="1">
                    <c:v>64T</c:v>
                  </c:pt>
                  <c:pt idx="2">
                    <c:v>128T</c:v>
                  </c:pt>
                </c:lvl>
                <c:lvl/>
              </c:multiLvlStrCache>
            </c:multiLvlStrRef>
          </c:cat>
          <c:val>
            <c:numRef>
              <c:f>[CBSR仿真数据_6.xlsx]Sheet1!$Q$102:$S$102</c:f>
              <c:numCache>
                <c:formatCode>General</c:formatCode>
                <c:ptCount val="3"/>
                <c:pt idx="0">
                  <c:v>1</c:v>
                </c:pt>
                <c:pt idx="1">
                  <c:v>1</c:v>
                </c:pt>
                <c:pt idx="2">
                  <c:v>1</c:v>
                </c:pt>
              </c:numCache>
            </c:numRef>
          </c:val>
          <c:extLst>
            <c:ext xmlns:c16="http://schemas.microsoft.com/office/drawing/2014/chart" uri="{C3380CC4-5D6E-409C-BE32-E72D297353CC}">
              <c16:uniqueId val="{00000001-9CD5-4DFB-9359-29583BB0314B}"/>
            </c:ext>
          </c:extLst>
        </c:ser>
        <c:dLbls>
          <c:showLegendKey val="0"/>
          <c:showVal val="1"/>
          <c:showCatName val="0"/>
          <c:showSerName val="0"/>
          <c:showPercent val="0"/>
          <c:showBubbleSize val="0"/>
        </c:dLbls>
        <c:gapWidth val="219"/>
        <c:overlap val="-27"/>
        <c:axId val="488991237"/>
        <c:axId val="673006839"/>
      </c:barChart>
      <c:catAx>
        <c:axId val="488991237"/>
        <c:scaling>
          <c:orientation val="minMax"/>
        </c:scaling>
        <c:delete val="0"/>
        <c:axPos val="b"/>
        <c:numFmt formatCode="General" sourceLinked="0"/>
        <c:majorTickMark val="none"/>
        <c:minorTickMark val="none"/>
        <c:tickLblPos val="nextTo"/>
        <c:spPr>
          <a:noFill/>
          <a:ln w="9525" cap="flat" cmpd="sng" algn="ctr">
            <a:solidFill>
              <a:srgbClr val="008ED3">
                <a:lumMod val="15000"/>
                <a:lumOff val="85000"/>
              </a:srgbClr>
            </a:solidFill>
            <a:round/>
          </a:ln>
          <a:effectLst/>
        </c:spPr>
        <c:txPr>
          <a:bodyPr rot="-6000000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crossAx val="673006839"/>
        <c:crosses val="autoZero"/>
        <c:auto val="1"/>
        <c:lblAlgn val="ctr"/>
        <c:lblOffset val="100"/>
        <c:noMultiLvlLbl val="0"/>
      </c:catAx>
      <c:valAx>
        <c:axId val="673006839"/>
        <c:scaling>
          <c:orientation val="minMax"/>
          <c:min val="0"/>
        </c:scaling>
        <c:delete val="0"/>
        <c:axPos val="l"/>
        <c:majorGridlines>
          <c:spPr>
            <a:ln w="9525" cap="flat" cmpd="sng" algn="ctr">
              <a:solidFill>
                <a:srgbClr val="008ED3">
                  <a:lumMod val="15000"/>
                  <a:lumOff val="85000"/>
                </a:srgb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crossAx val="488991237"/>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Entry>
      <c:legendEntry>
        <c:idx val="1"/>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rgbClr val="008ED3">
          <a:lumMod val="15000"/>
          <a:lumOff val="85000"/>
        </a:srgbClr>
      </a:solidFill>
      <a:round/>
    </a:ln>
    <a:effectLst/>
  </c:spPr>
  <c:txPr>
    <a:bodyPr/>
    <a:lstStyle/>
    <a:p>
      <a:pPr>
        <a:defRPr lang="zh-CN" sz="600">
          <a:solidFill>
            <a:schemeClr val="tx1"/>
          </a:solidFill>
        </a:defRPr>
      </a:pPr>
      <a:endParaRPr lang="zh-CN"/>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720" b="0" i="0" u="none" strike="noStrike" kern="1200" spc="0" baseline="0">
                <a:solidFill>
                  <a:schemeClr val="tx1"/>
                </a:solidFill>
                <a:latin typeface="+mn-lt"/>
                <a:ea typeface="+mn-ea"/>
                <a:cs typeface="+mn-cs"/>
              </a:defRPr>
            </a:pPr>
            <a:r>
              <a:rPr lang="en-US"/>
              <a:t>TypeI 5%-ile </a:t>
            </a:r>
          </a:p>
        </c:rich>
      </c:tx>
      <c:overlay val="0"/>
      <c:spPr>
        <a:noFill/>
        <a:ln>
          <a:noFill/>
        </a:ln>
        <a:effectLst/>
      </c:spPr>
      <c:txPr>
        <a:bodyPr rot="0" spcFirstLastPara="1" vertOverflow="ellipsis" vert="horz" wrap="square" anchor="ctr" anchorCtr="1"/>
        <a:lstStyle/>
        <a:p>
          <a:pPr>
            <a:defRPr lang="zh-CN" sz="72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[CBSR仿真数据_6.xlsx]Sheet1!$K$101</c:f>
              <c:strCache>
                <c:ptCount val="1"/>
                <c:pt idx="0">
                  <c:v>HSFSD deactivated</c:v>
                </c:pt>
              </c:strCache>
            </c:strRef>
          </c:tx>
          <c:spPr>
            <a:solidFill>
              <a:srgbClr val="0070C0"/>
            </a:solidFill>
            <a:ln>
              <a:noFill/>
            </a:ln>
            <a:effectLst/>
          </c:spPr>
          <c:invertIfNegative val="0"/>
          <c:dLbls>
            <c:numFmt formatCode="0.00%" sourceLinked="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rgbClr val="008ED3">
                          <a:lumMod val="35000"/>
                          <a:lumOff val="65000"/>
                        </a:srgbClr>
                      </a:solidFill>
                      <a:round/>
                    </a:ln>
                    <a:effectLst/>
                  </c:spPr>
                </c15:leaderLines>
              </c:ext>
            </c:extLst>
          </c:dLbls>
          <c:cat>
            <c:multiLvlStrRef>
              <c:f>[CBSR仿真数据_6.xlsx]Sheet1!$L$99:$N$100</c:f>
              <c:multiLvlStrCache>
                <c:ptCount val="3"/>
                <c:lvl>
                  <c:pt idx="0">
                    <c:v>32T</c:v>
                  </c:pt>
                  <c:pt idx="1">
                    <c:v>64T</c:v>
                  </c:pt>
                  <c:pt idx="2">
                    <c:v>128T</c:v>
                  </c:pt>
                </c:lvl>
                <c:lvl/>
              </c:multiLvlStrCache>
            </c:multiLvlStrRef>
          </c:cat>
          <c:val>
            <c:numRef>
              <c:f>[CBSR仿真数据_6.xlsx]Sheet1!$L$101:$N$101</c:f>
              <c:numCache>
                <c:formatCode>General</c:formatCode>
                <c:ptCount val="3"/>
                <c:pt idx="0">
                  <c:v>1.05952353706221</c:v>
                </c:pt>
                <c:pt idx="1">
                  <c:v>0.97234349628383798</c:v>
                </c:pt>
                <c:pt idx="2">
                  <c:v>0.98197850566695</c:v>
                </c:pt>
              </c:numCache>
            </c:numRef>
          </c:val>
          <c:extLst>
            <c:ext xmlns:c16="http://schemas.microsoft.com/office/drawing/2014/chart" uri="{C3380CC4-5D6E-409C-BE32-E72D297353CC}">
              <c16:uniqueId val="{00000000-9342-4469-8517-525497916914}"/>
            </c:ext>
          </c:extLst>
        </c:ser>
        <c:ser>
          <c:idx val="1"/>
          <c:order val="1"/>
          <c:tx>
            <c:strRef>
              <c:f>[CBSR仿真数据_6.xlsx]Sheet1!$K$102</c:f>
              <c:strCache>
                <c:ptCount val="1"/>
                <c:pt idx="0">
                  <c:v>HSFSD activated</c:v>
                </c:pt>
              </c:strCache>
            </c:strRef>
          </c:tx>
          <c:spPr>
            <a:solidFill>
              <a:srgbClr val="C0504D"/>
            </a:solidFill>
            <a:ln>
              <a:noFill/>
            </a:ln>
            <a:effectLst/>
          </c:spPr>
          <c:invertIfNegative val="0"/>
          <c:dLbls>
            <c:dLbl>
              <c:idx val="2"/>
              <c:layout>
                <c:manualLayout>
                  <c:x val="1.3169446883230743E-2"/>
                  <c:y val="-5.824111822947000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342-4469-8517-525497916914}"/>
                </c:ext>
              </c:extLst>
            </c:dLbl>
            <c:numFmt formatCode="0.00%" sourceLinked="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rgbClr val="008ED3">
                          <a:lumMod val="35000"/>
                          <a:lumOff val="65000"/>
                        </a:srgbClr>
                      </a:solidFill>
                      <a:round/>
                    </a:ln>
                    <a:effectLst/>
                  </c:spPr>
                </c15:leaderLines>
              </c:ext>
            </c:extLst>
          </c:dLbls>
          <c:cat>
            <c:multiLvlStrRef>
              <c:f>[CBSR仿真数据_6.xlsx]Sheet1!$L$99:$N$100</c:f>
              <c:multiLvlStrCache>
                <c:ptCount val="3"/>
                <c:lvl>
                  <c:pt idx="0">
                    <c:v>32T</c:v>
                  </c:pt>
                  <c:pt idx="1">
                    <c:v>64T</c:v>
                  </c:pt>
                  <c:pt idx="2">
                    <c:v>128T</c:v>
                  </c:pt>
                </c:lvl>
                <c:lvl/>
              </c:multiLvlStrCache>
            </c:multiLvlStrRef>
          </c:cat>
          <c:val>
            <c:numRef>
              <c:f>[CBSR仿真数据_6.xlsx]Sheet1!$L$102:$N$102</c:f>
              <c:numCache>
                <c:formatCode>General</c:formatCode>
                <c:ptCount val="3"/>
                <c:pt idx="0">
                  <c:v>1</c:v>
                </c:pt>
                <c:pt idx="1">
                  <c:v>1</c:v>
                </c:pt>
                <c:pt idx="2">
                  <c:v>1</c:v>
                </c:pt>
              </c:numCache>
            </c:numRef>
          </c:val>
          <c:extLst>
            <c:ext xmlns:c16="http://schemas.microsoft.com/office/drawing/2014/chart" uri="{C3380CC4-5D6E-409C-BE32-E72D297353CC}">
              <c16:uniqueId val="{00000001-9342-4469-8517-525497916914}"/>
            </c:ext>
          </c:extLst>
        </c:ser>
        <c:dLbls>
          <c:showLegendKey val="0"/>
          <c:showVal val="1"/>
          <c:showCatName val="0"/>
          <c:showSerName val="0"/>
          <c:showPercent val="0"/>
          <c:showBubbleSize val="0"/>
        </c:dLbls>
        <c:gapWidth val="219"/>
        <c:overlap val="-27"/>
        <c:axId val="488991237"/>
        <c:axId val="673006839"/>
      </c:barChart>
      <c:catAx>
        <c:axId val="488991237"/>
        <c:scaling>
          <c:orientation val="minMax"/>
        </c:scaling>
        <c:delete val="0"/>
        <c:axPos val="b"/>
        <c:numFmt formatCode="General" sourceLinked="0"/>
        <c:majorTickMark val="none"/>
        <c:minorTickMark val="none"/>
        <c:tickLblPos val="nextTo"/>
        <c:spPr>
          <a:noFill/>
          <a:ln w="9525" cap="flat" cmpd="sng" algn="ctr">
            <a:solidFill>
              <a:srgbClr val="008ED3">
                <a:lumMod val="15000"/>
                <a:lumOff val="85000"/>
              </a:srgbClr>
            </a:solidFill>
            <a:round/>
          </a:ln>
          <a:effectLst/>
        </c:spPr>
        <c:txPr>
          <a:bodyPr rot="-6000000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crossAx val="673006839"/>
        <c:crosses val="autoZero"/>
        <c:auto val="1"/>
        <c:lblAlgn val="ctr"/>
        <c:lblOffset val="100"/>
        <c:noMultiLvlLbl val="0"/>
      </c:catAx>
      <c:valAx>
        <c:axId val="673006839"/>
        <c:scaling>
          <c:orientation val="minMax"/>
          <c:min val="0"/>
        </c:scaling>
        <c:delete val="0"/>
        <c:axPos val="l"/>
        <c:majorGridlines>
          <c:spPr>
            <a:ln w="9525" cap="flat" cmpd="sng" algn="ctr">
              <a:solidFill>
                <a:srgbClr val="008ED3">
                  <a:lumMod val="15000"/>
                  <a:lumOff val="85000"/>
                </a:srgb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crossAx val="488991237"/>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Entry>
      <c:legendEntry>
        <c:idx val="1"/>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6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rgbClr val="008ED3">
          <a:lumMod val="15000"/>
          <a:lumOff val="85000"/>
        </a:srgbClr>
      </a:solidFill>
      <a:round/>
    </a:ln>
    <a:effectLst/>
  </c:spPr>
  <c:txPr>
    <a:bodyPr/>
    <a:lstStyle/>
    <a:p>
      <a:pPr>
        <a:defRPr lang="zh-CN" sz="600">
          <a:solidFill>
            <a:schemeClr val="tx1"/>
          </a:solidFill>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rgbClr val="008ED3">
        <a:lumMod val="65000"/>
        <a:lumOff val="35000"/>
      </a:srgbClr>
    </cs:fontRef>
    <cs:defRPr sz="1000" kern="1200"/>
  </cs:axisTitle>
  <cs:categoryAxis>
    <cs:lnRef idx="0"/>
    <cs:fillRef idx="0"/>
    <cs:effectRef idx="0"/>
    <cs:fontRef idx="minor">
      <a:srgbClr val="008ED3">
        <a:lumMod val="65000"/>
        <a:lumOff val="35000"/>
      </a:srgbClr>
    </cs:fontRef>
    <cs:spPr>
      <a:ln w="9525" cap="flat" cmpd="sng" algn="ctr">
        <a:solidFill>
          <a:srgbClr val="008ED3">
            <a:lumMod val="15000"/>
            <a:lumOff val="85000"/>
          </a:srgbClr>
        </a:solidFill>
        <a:round/>
      </a:ln>
    </cs:spPr>
    <cs:defRPr sz="900" kern="1200"/>
  </cs:categoryAxis>
  <cs:chartArea mods="allowNoFillOverride allowNoLineOverride">
    <cs:lnRef idx="0"/>
    <cs:fillRef idx="0"/>
    <cs:effectRef idx="0"/>
    <cs:fontRef idx="minor">
      <a:srgbClr val="008ED3"/>
    </cs:fontRef>
    <cs:spPr>
      <a:solidFill>
        <a:srgbClr val="FFFFFF"/>
      </a:solidFill>
      <a:ln w="9525" cap="flat" cmpd="sng" algn="ctr">
        <a:solidFill>
          <a:srgbClr val="008ED3">
            <a:lumMod val="15000"/>
            <a:lumOff val="85000"/>
          </a:srgbClr>
        </a:solidFill>
        <a:round/>
      </a:ln>
    </cs:spPr>
    <cs:defRPr sz="1000" kern="1200"/>
  </cs:chartArea>
  <cs:dataLabel>
    <cs:lnRef idx="0"/>
    <cs:fillRef idx="0"/>
    <cs:effectRef idx="0"/>
    <cs:fontRef idx="minor">
      <a:srgbClr val="008ED3">
        <a:lumMod val="75000"/>
        <a:lumOff val="25000"/>
      </a:srgbClr>
    </cs:fontRef>
    <cs:defRPr sz="900" kern="1200"/>
  </cs:dataLabel>
  <cs:dataLabelCallout>
    <cs:lnRef idx="0"/>
    <cs:fillRef idx="0"/>
    <cs:effectRef idx="0"/>
    <cs:fontRef idx="minor">
      <a:srgbClr val="008ED3">
        <a:lumMod val="65000"/>
        <a:lumOff val="35000"/>
      </a:srgbClr>
    </cs:fontRef>
    <cs:spPr>
      <a:solidFill>
        <a:srgbClr val="FFFFFF"/>
      </a:solidFill>
      <a:ln>
        <a:solidFill>
          <a:srgbClr val="008ED3">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8ED3"/>
    </cs:fontRef>
  </cs:dataPoint>
  <cs:dataPoint3D>
    <cs:lnRef idx="0"/>
    <cs:fillRef idx="1">
      <cs:styleClr val="auto"/>
    </cs:fillRef>
    <cs:effectRef idx="0"/>
    <cs:fontRef idx="minor">
      <a:srgbClr val="008ED3"/>
    </cs:fontRef>
  </cs:dataPoint3D>
  <cs:dataPointLine>
    <cs:lnRef idx="0">
      <cs:styleClr val="auto"/>
    </cs:lnRef>
    <cs:fillRef idx="1"/>
    <cs:effectRef idx="0"/>
    <cs:fontRef idx="minor">
      <a:srgbClr val="008ED3"/>
    </cs:fontRef>
    <cs:spPr>
      <a:ln w="28575" cap="rnd">
        <a:solidFill>
          <a:schemeClr val="phClr"/>
        </a:solidFill>
        <a:round/>
      </a:ln>
    </cs:spPr>
  </cs:dataPointLine>
  <cs:dataPointMarker>
    <cs:lnRef idx="0">
      <cs:styleClr val="auto"/>
    </cs:lnRef>
    <cs:fillRef idx="1">
      <cs:styleClr val="auto"/>
    </cs:fillRef>
    <cs:effectRef idx="0"/>
    <cs:fontRef idx="minor">
      <a:srgbClr val="008ED3"/>
    </cs:fontRef>
    <cs:spPr>
      <a:ln w="9525">
        <a:solidFill>
          <a:schemeClr val="phClr"/>
        </a:solidFill>
      </a:ln>
    </cs:spPr>
  </cs:dataPointMarker>
  <cs:dataPointMarkerLayout symbol="circle" size="5"/>
  <cs:dataPointWireframe>
    <cs:lnRef idx="0">
      <cs:styleClr val="auto"/>
    </cs:lnRef>
    <cs:fillRef idx="1"/>
    <cs:effectRef idx="0"/>
    <cs:fontRef idx="minor">
      <a:srgbClr val="008ED3"/>
    </cs:fontRef>
    <cs:spPr>
      <a:ln w="9525" cap="rnd">
        <a:solidFill>
          <a:schemeClr val="phClr"/>
        </a:solidFill>
        <a:round/>
      </a:ln>
    </cs:spPr>
  </cs:dataPointWireframe>
  <cs:dataTable>
    <cs:lnRef idx="0"/>
    <cs:fillRef idx="0"/>
    <cs:effectRef idx="0"/>
    <cs:fontRef idx="minor">
      <a:srgbClr val="008ED3">
        <a:lumMod val="65000"/>
        <a:lumOff val="35000"/>
      </a:srgbClr>
    </cs:fontRef>
    <cs:spPr>
      <a:noFill/>
      <a:ln w="9525" cap="flat" cmpd="sng" algn="ctr">
        <a:solidFill>
          <a:srgbClr val="008ED3">
            <a:lumMod val="15000"/>
            <a:lumOff val="85000"/>
          </a:srgbClr>
        </a:solidFill>
        <a:round/>
      </a:ln>
    </cs:spPr>
    <cs:defRPr sz="900" kern="1200"/>
  </cs:dataTable>
  <cs:downBar>
    <cs:lnRef idx="0"/>
    <cs:fillRef idx="0"/>
    <cs:effectRef idx="0"/>
    <cs:fontRef idx="minor">
      <a:srgbClr val="008ED3"/>
    </cs:fontRef>
    <cs:spPr>
      <a:solidFill>
        <a:srgbClr val="008ED3">
          <a:lumMod val="65000"/>
          <a:lumOff val="35000"/>
        </a:srgbClr>
      </a:solidFill>
      <a:ln w="9525">
        <a:solidFill>
          <a:srgbClr val="008ED3">
            <a:lumMod val="65000"/>
            <a:lumOff val="35000"/>
          </a:srgbClr>
        </a:solidFill>
      </a:ln>
    </cs:spPr>
  </cs:downBar>
  <cs:dropLine>
    <cs:lnRef idx="0"/>
    <cs:fillRef idx="0"/>
    <cs:effectRef idx="0"/>
    <cs:fontRef idx="minor">
      <a:srgbClr val="008ED3"/>
    </cs:fontRef>
    <cs:spPr>
      <a:ln w="9525" cap="flat" cmpd="sng" algn="ctr">
        <a:solidFill>
          <a:srgbClr val="008ED3">
            <a:lumMod val="35000"/>
            <a:lumOff val="65000"/>
          </a:srgbClr>
        </a:solidFill>
        <a:round/>
      </a:ln>
    </cs:spPr>
  </cs:dropLine>
  <cs:errorBar>
    <cs:lnRef idx="0"/>
    <cs:fillRef idx="0"/>
    <cs:effectRef idx="0"/>
    <cs:fontRef idx="minor">
      <a:srgbClr val="008ED3"/>
    </cs:fontRef>
    <cs:spPr>
      <a:ln w="9525" cap="flat" cmpd="sng" algn="ctr">
        <a:solidFill>
          <a:srgbClr val="008ED3">
            <a:lumMod val="65000"/>
            <a:lumOff val="35000"/>
          </a:srgbClr>
        </a:solidFill>
        <a:round/>
      </a:ln>
    </cs:spPr>
  </cs:errorBar>
  <cs:floor>
    <cs:lnRef idx="0"/>
    <cs:fillRef idx="0"/>
    <cs:effectRef idx="0"/>
    <cs:fontRef idx="minor">
      <a:srgbClr val="008ED3"/>
    </cs:fontRef>
    <cs:spPr>
      <a:noFill/>
      <a:ln>
        <a:noFill/>
      </a:ln>
    </cs:spPr>
  </cs:floor>
  <cs:gridlineMajor>
    <cs:lnRef idx="0"/>
    <cs:fillRef idx="0"/>
    <cs:effectRef idx="0"/>
    <cs:fontRef idx="minor">
      <a:srgbClr val="008ED3"/>
    </cs:fontRef>
    <cs:spPr>
      <a:ln w="9525" cap="flat" cmpd="sng" algn="ctr">
        <a:solidFill>
          <a:srgbClr val="008ED3">
            <a:lumMod val="15000"/>
            <a:lumOff val="85000"/>
          </a:srgbClr>
        </a:solidFill>
        <a:round/>
      </a:ln>
    </cs:spPr>
  </cs:gridlineMajor>
  <cs:gridlineMinor>
    <cs:lnRef idx="0"/>
    <cs:fillRef idx="0"/>
    <cs:effectRef idx="0"/>
    <cs:fontRef idx="minor">
      <a:srgbClr val="008ED3"/>
    </cs:fontRef>
    <cs:spPr>
      <a:ln w="9525" cap="flat" cmpd="sng" algn="ctr">
        <a:solidFill>
          <a:srgbClr val="008ED3">
            <a:lumMod val="5000"/>
            <a:lumOff val="95000"/>
          </a:srgbClr>
        </a:solidFill>
        <a:round/>
      </a:ln>
    </cs:spPr>
  </cs:gridlineMinor>
  <cs:hiLoLine>
    <cs:lnRef idx="0"/>
    <cs:fillRef idx="0"/>
    <cs:effectRef idx="0"/>
    <cs:fontRef idx="minor">
      <a:srgbClr val="008ED3"/>
    </cs:fontRef>
    <cs:spPr>
      <a:ln w="9525" cap="flat" cmpd="sng" algn="ctr">
        <a:solidFill>
          <a:srgbClr val="008ED3">
            <a:lumMod val="75000"/>
            <a:lumOff val="25000"/>
          </a:srgbClr>
        </a:solidFill>
        <a:round/>
      </a:ln>
    </cs:spPr>
  </cs:hiLoLine>
  <cs:leaderLine>
    <cs:lnRef idx="0"/>
    <cs:fillRef idx="0"/>
    <cs:effectRef idx="0"/>
    <cs:fontRef idx="minor">
      <a:srgbClr val="008ED3"/>
    </cs:fontRef>
    <cs:spPr>
      <a:ln w="9525" cap="flat" cmpd="sng" algn="ctr">
        <a:solidFill>
          <a:srgbClr val="008ED3">
            <a:lumMod val="35000"/>
            <a:lumOff val="65000"/>
          </a:srgbClr>
        </a:solidFill>
        <a:round/>
      </a:ln>
    </cs:spPr>
  </cs:leaderLine>
  <cs:legend>
    <cs:lnRef idx="0"/>
    <cs:fillRef idx="0"/>
    <cs:effectRef idx="0"/>
    <cs:fontRef idx="minor">
      <a:srgbClr val="008ED3">
        <a:lumMod val="65000"/>
        <a:lumOff val="35000"/>
      </a:srgbClr>
    </cs:fontRef>
    <cs:defRPr sz="900" kern="1200"/>
  </cs:legend>
  <cs:plotArea mods="allowNoFillOverride allowNoLineOverride">
    <cs:lnRef idx="0"/>
    <cs:fillRef idx="0"/>
    <cs:effectRef idx="0"/>
    <cs:fontRef idx="minor">
      <a:srgbClr val="008ED3"/>
    </cs:fontRef>
  </cs:plotArea>
  <cs:plotArea3D mods="allowNoFillOverride allowNoLineOverride">
    <cs:lnRef idx="0"/>
    <cs:fillRef idx="0"/>
    <cs:effectRef idx="0"/>
    <cs:fontRef idx="minor">
      <a:srgbClr val="008ED3"/>
    </cs:fontRef>
  </cs:plotArea3D>
  <cs:seriesAxis>
    <cs:lnRef idx="0"/>
    <cs:fillRef idx="0"/>
    <cs:effectRef idx="0"/>
    <cs:fontRef idx="minor">
      <a:srgbClr val="008ED3">
        <a:lumMod val="65000"/>
        <a:lumOff val="35000"/>
      </a:srgbClr>
    </cs:fontRef>
    <cs:defRPr sz="900" kern="1200"/>
  </cs:seriesAxis>
  <cs:seriesLine>
    <cs:lnRef idx="0"/>
    <cs:fillRef idx="0"/>
    <cs:effectRef idx="0"/>
    <cs:fontRef idx="minor">
      <a:srgbClr val="008ED3"/>
    </cs:fontRef>
    <cs:spPr>
      <a:ln w="9525" cap="flat" cmpd="sng" algn="ctr">
        <a:solidFill>
          <a:srgbClr val="008ED3">
            <a:lumMod val="35000"/>
            <a:lumOff val="65000"/>
          </a:srgbClr>
        </a:solidFill>
        <a:round/>
      </a:ln>
    </cs:spPr>
  </cs:seriesLine>
  <cs:title>
    <cs:lnRef idx="0"/>
    <cs:fillRef idx="0"/>
    <cs:effectRef idx="0"/>
    <cs:fontRef idx="minor">
      <a:srgbClr val="008ED3">
        <a:lumMod val="65000"/>
        <a:lumOff val="35000"/>
      </a:srgbClr>
    </cs:fontRef>
    <cs:defRPr sz="1400" b="0" kern="1200" spc="0" baseline="0"/>
  </cs:title>
  <cs:trendline>
    <cs:lnRef idx="0">
      <cs:styleClr val="auto"/>
    </cs:lnRef>
    <cs:fillRef idx="0"/>
    <cs:effectRef idx="0"/>
    <cs:fontRef idx="minor">
      <a:srgbClr val="008ED3"/>
    </cs:fontRef>
    <cs:spPr>
      <a:ln w="19050" cap="rnd">
        <a:solidFill>
          <a:schemeClr val="phClr"/>
        </a:solidFill>
        <a:prstDash val="sysDot"/>
      </a:ln>
    </cs:spPr>
  </cs:trendline>
  <cs:trendlineLabel>
    <cs:lnRef idx="0"/>
    <cs:fillRef idx="0"/>
    <cs:effectRef idx="0"/>
    <cs:fontRef idx="minor">
      <a:srgbClr val="008ED3">
        <a:lumMod val="65000"/>
        <a:lumOff val="35000"/>
      </a:srgbClr>
    </cs:fontRef>
    <cs:defRPr sz="900" kern="1200"/>
  </cs:trendlineLabel>
  <cs:upBar>
    <cs:lnRef idx="0"/>
    <cs:fillRef idx="0"/>
    <cs:effectRef idx="0"/>
    <cs:fontRef idx="minor">
      <a:srgbClr val="008ED3"/>
    </cs:fontRef>
    <cs:spPr>
      <a:solidFill>
        <a:srgbClr val="FFFFFF"/>
      </a:solidFill>
      <a:ln w="9525">
        <a:solidFill>
          <a:srgbClr val="008ED3">
            <a:lumMod val="15000"/>
            <a:lumOff val="85000"/>
          </a:srgbClr>
        </a:solidFill>
      </a:ln>
    </cs:spPr>
  </cs:upBar>
  <cs:valueAxis>
    <cs:lnRef idx="0"/>
    <cs:fillRef idx="0"/>
    <cs:effectRef idx="0"/>
    <cs:fontRef idx="minor">
      <a:srgbClr val="008ED3">
        <a:lumMod val="65000"/>
        <a:lumOff val="35000"/>
      </a:srgbClr>
    </cs:fontRef>
    <cs:defRPr sz="900" kern="1200"/>
  </cs:valueAxis>
  <cs:wall>
    <cs:lnRef idx="0"/>
    <cs:fillRef idx="0"/>
    <cs:effectRef idx="0"/>
    <cs:fontRef idx="minor">
      <a:srgbClr val="008ED3"/>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rgbClr val="008ED3">
        <a:lumMod val="65000"/>
        <a:lumOff val="35000"/>
      </a:srgbClr>
    </cs:fontRef>
    <cs:defRPr sz="1000" kern="1200"/>
  </cs:axisTitle>
  <cs:categoryAxis>
    <cs:lnRef idx="0"/>
    <cs:fillRef idx="0"/>
    <cs:effectRef idx="0"/>
    <cs:fontRef idx="minor">
      <a:srgbClr val="008ED3">
        <a:lumMod val="65000"/>
        <a:lumOff val="35000"/>
      </a:srgbClr>
    </cs:fontRef>
    <cs:spPr>
      <a:ln w="9525" cap="flat" cmpd="sng" algn="ctr">
        <a:solidFill>
          <a:srgbClr val="008ED3">
            <a:lumMod val="15000"/>
            <a:lumOff val="85000"/>
          </a:srgbClr>
        </a:solidFill>
        <a:round/>
      </a:ln>
    </cs:spPr>
    <cs:defRPr sz="900" kern="1200"/>
  </cs:categoryAxis>
  <cs:chartArea mods="allowNoFillOverride allowNoLineOverride">
    <cs:lnRef idx="0"/>
    <cs:fillRef idx="0"/>
    <cs:effectRef idx="0"/>
    <cs:fontRef idx="minor">
      <a:srgbClr val="008ED3"/>
    </cs:fontRef>
    <cs:spPr>
      <a:solidFill>
        <a:srgbClr val="FFFFFF"/>
      </a:solidFill>
      <a:ln w="9525" cap="flat" cmpd="sng" algn="ctr">
        <a:solidFill>
          <a:srgbClr val="008ED3">
            <a:lumMod val="15000"/>
            <a:lumOff val="85000"/>
          </a:srgbClr>
        </a:solidFill>
        <a:round/>
      </a:ln>
    </cs:spPr>
    <cs:defRPr sz="1000" kern="1200"/>
  </cs:chartArea>
  <cs:dataLabel>
    <cs:lnRef idx="0"/>
    <cs:fillRef idx="0"/>
    <cs:effectRef idx="0"/>
    <cs:fontRef idx="minor">
      <a:srgbClr val="008ED3">
        <a:lumMod val="75000"/>
        <a:lumOff val="25000"/>
      </a:srgbClr>
    </cs:fontRef>
    <cs:defRPr sz="900" kern="1200"/>
  </cs:dataLabel>
  <cs:dataLabelCallout>
    <cs:lnRef idx="0"/>
    <cs:fillRef idx="0"/>
    <cs:effectRef idx="0"/>
    <cs:fontRef idx="minor">
      <a:srgbClr val="008ED3">
        <a:lumMod val="65000"/>
        <a:lumOff val="35000"/>
      </a:srgbClr>
    </cs:fontRef>
    <cs:spPr>
      <a:solidFill>
        <a:srgbClr val="FFFFFF"/>
      </a:solidFill>
      <a:ln>
        <a:solidFill>
          <a:srgbClr val="008ED3">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8ED3"/>
    </cs:fontRef>
  </cs:dataPoint>
  <cs:dataPoint3D>
    <cs:lnRef idx="0"/>
    <cs:fillRef idx="1">
      <cs:styleClr val="auto"/>
    </cs:fillRef>
    <cs:effectRef idx="0"/>
    <cs:fontRef idx="minor">
      <a:srgbClr val="008ED3"/>
    </cs:fontRef>
  </cs:dataPoint3D>
  <cs:dataPointLine>
    <cs:lnRef idx="0">
      <cs:styleClr val="auto"/>
    </cs:lnRef>
    <cs:fillRef idx="1"/>
    <cs:effectRef idx="0"/>
    <cs:fontRef idx="minor">
      <a:srgbClr val="008ED3"/>
    </cs:fontRef>
    <cs:spPr>
      <a:ln w="28575" cap="rnd">
        <a:solidFill>
          <a:schemeClr val="phClr"/>
        </a:solidFill>
        <a:round/>
      </a:ln>
    </cs:spPr>
  </cs:dataPointLine>
  <cs:dataPointMarker>
    <cs:lnRef idx="0">
      <cs:styleClr val="auto"/>
    </cs:lnRef>
    <cs:fillRef idx="1">
      <cs:styleClr val="auto"/>
    </cs:fillRef>
    <cs:effectRef idx="0"/>
    <cs:fontRef idx="minor">
      <a:srgbClr val="008ED3"/>
    </cs:fontRef>
    <cs:spPr>
      <a:ln w="9525">
        <a:solidFill>
          <a:schemeClr val="phClr"/>
        </a:solidFill>
      </a:ln>
    </cs:spPr>
  </cs:dataPointMarker>
  <cs:dataPointMarkerLayout symbol="circle" size="5"/>
  <cs:dataPointWireframe>
    <cs:lnRef idx="0">
      <cs:styleClr val="auto"/>
    </cs:lnRef>
    <cs:fillRef idx="1"/>
    <cs:effectRef idx="0"/>
    <cs:fontRef idx="minor">
      <a:srgbClr val="008ED3"/>
    </cs:fontRef>
    <cs:spPr>
      <a:ln w="9525" cap="rnd">
        <a:solidFill>
          <a:schemeClr val="phClr"/>
        </a:solidFill>
        <a:round/>
      </a:ln>
    </cs:spPr>
  </cs:dataPointWireframe>
  <cs:dataTable>
    <cs:lnRef idx="0"/>
    <cs:fillRef idx="0"/>
    <cs:effectRef idx="0"/>
    <cs:fontRef idx="minor">
      <a:srgbClr val="008ED3">
        <a:lumMod val="65000"/>
        <a:lumOff val="35000"/>
      </a:srgbClr>
    </cs:fontRef>
    <cs:spPr>
      <a:noFill/>
      <a:ln w="9525" cap="flat" cmpd="sng" algn="ctr">
        <a:solidFill>
          <a:srgbClr val="008ED3">
            <a:lumMod val="15000"/>
            <a:lumOff val="85000"/>
          </a:srgbClr>
        </a:solidFill>
        <a:round/>
      </a:ln>
    </cs:spPr>
    <cs:defRPr sz="900" kern="1200"/>
  </cs:dataTable>
  <cs:downBar>
    <cs:lnRef idx="0"/>
    <cs:fillRef idx="0"/>
    <cs:effectRef idx="0"/>
    <cs:fontRef idx="minor">
      <a:srgbClr val="008ED3"/>
    </cs:fontRef>
    <cs:spPr>
      <a:solidFill>
        <a:srgbClr val="008ED3">
          <a:lumMod val="65000"/>
          <a:lumOff val="35000"/>
        </a:srgbClr>
      </a:solidFill>
      <a:ln w="9525">
        <a:solidFill>
          <a:srgbClr val="008ED3">
            <a:lumMod val="65000"/>
            <a:lumOff val="35000"/>
          </a:srgbClr>
        </a:solidFill>
      </a:ln>
    </cs:spPr>
  </cs:downBar>
  <cs:dropLine>
    <cs:lnRef idx="0"/>
    <cs:fillRef idx="0"/>
    <cs:effectRef idx="0"/>
    <cs:fontRef idx="minor">
      <a:srgbClr val="008ED3"/>
    </cs:fontRef>
    <cs:spPr>
      <a:ln w="9525" cap="flat" cmpd="sng" algn="ctr">
        <a:solidFill>
          <a:srgbClr val="008ED3">
            <a:lumMod val="35000"/>
            <a:lumOff val="65000"/>
          </a:srgbClr>
        </a:solidFill>
        <a:round/>
      </a:ln>
    </cs:spPr>
  </cs:dropLine>
  <cs:errorBar>
    <cs:lnRef idx="0"/>
    <cs:fillRef idx="0"/>
    <cs:effectRef idx="0"/>
    <cs:fontRef idx="minor">
      <a:srgbClr val="008ED3"/>
    </cs:fontRef>
    <cs:spPr>
      <a:ln w="9525" cap="flat" cmpd="sng" algn="ctr">
        <a:solidFill>
          <a:srgbClr val="008ED3">
            <a:lumMod val="65000"/>
            <a:lumOff val="35000"/>
          </a:srgbClr>
        </a:solidFill>
        <a:round/>
      </a:ln>
    </cs:spPr>
  </cs:errorBar>
  <cs:floor>
    <cs:lnRef idx="0"/>
    <cs:fillRef idx="0"/>
    <cs:effectRef idx="0"/>
    <cs:fontRef idx="minor">
      <a:srgbClr val="008ED3"/>
    </cs:fontRef>
    <cs:spPr>
      <a:noFill/>
      <a:ln>
        <a:noFill/>
      </a:ln>
    </cs:spPr>
  </cs:floor>
  <cs:gridlineMajor>
    <cs:lnRef idx="0"/>
    <cs:fillRef idx="0"/>
    <cs:effectRef idx="0"/>
    <cs:fontRef idx="minor">
      <a:srgbClr val="008ED3"/>
    </cs:fontRef>
    <cs:spPr>
      <a:ln w="9525" cap="flat" cmpd="sng" algn="ctr">
        <a:solidFill>
          <a:srgbClr val="008ED3">
            <a:lumMod val="15000"/>
            <a:lumOff val="85000"/>
          </a:srgbClr>
        </a:solidFill>
        <a:round/>
      </a:ln>
    </cs:spPr>
  </cs:gridlineMajor>
  <cs:gridlineMinor>
    <cs:lnRef idx="0"/>
    <cs:fillRef idx="0"/>
    <cs:effectRef idx="0"/>
    <cs:fontRef idx="minor">
      <a:srgbClr val="008ED3"/>
    </cs:fontRef>
    <cs:spPr>
      <a:ln w="9525" cap="flat" cmpd="sng" algn="ctr">
        <a:solidFill>
          <a:srgbClr val="008ED3">
            <a:lumMod val="5000"/>
            <a:lumOff val="95000"/>
          </a:srgbClr>
        </a:solidFill>
        <a:round/>
      </a:ln>
    </cs:spPr>
  </cs:gridlineMinor>
  <cs:hiLoLine>
    <cs:lnRef idx="0"/>
    <cs:fillRef idx="0"/>
    <cs:effectRef idx="0"/>
    <cs:fontRef idx="minor">
      <a:srgbClr val="008ED3"/>
    </cs:fontRef>
    <cs:spPr>
      <a:ln w="9525" cap="flat" cmpd="sng" algn="ctr">
        <a:solidFill>
          <a:srgbClr val="008ED3">
            <a:lumMod val="75000"/>
            <a:lumOff val="25000"/>
          </a:srgbClr>
        </a:solidFill>
        <a:round/>
      </a:ln>
    </cs:spPr>
  </cs:hiLoLine>
  <cs:leaderLine>
    <cs:lnRef idx="0"/>
    <cs:fillRef idx="0"/>
    <cs:effectRef idx="0"/>
    <cs:fontRef idx="minor">
      <a:srgbClr val="008ED3"/>
    </cs:fontRef>
    <cs:spPr>
      <a:ln w="9525" cap="flat" cmpd="sng" algn="ctr">
        <a:solidFill>
          <a:srgbClr val="008ED3">
            <a:lumMod val="35000"/>
            <a:lumOff val="65000"/>
          </a:srgbClr>
        </a:solidFill>
        <a:round/>
      </a:ln>
    </cs:spPr>
  </cs:leaderLine>
  <cs:legend>
    <cs:lnRef idx="0"/>
    <cs:fillRef idx="0"/>
    <cs:effectRef idx="0"/>
    <cs:fontRef idx="minor">
      <a:srgbClr val="008ED3">
        <a:lumMod val="65000"/>
        <a:lumOff val="35000"/>
      </a:srgbClr>
    </cs:fontRef>
    <cs:defRPr sz="900" kern="1200"/>
  </cs:legend>
  <cs:plotArea mods="allowNoFillOverride allowNoLineOverride">
    <cs:lnRef idx="0"/>
    <cs:fillRef idx="0"/>
    <cs:effectRef idx="0"/>
    <cs:fontRef idx="minor">
      <a:srgbClr val="008ED3"/>
    </cs:fontRef>
  </cs:plotArea>
  <cs:plotArea3D mods="allowNoFillOverride allowNoLineOverride">
    <cs:lnRef idx="0"/>
    <cs:fillRef idx="0"/>
    <cs:effectRef idx="0"/>
    <cs:fontRef idx="minor">
      <a:srgbClr val="008ED3"/>
    </cs:fontRef>
  </cs:plotArea3D>
  <cs:seriesAxis>
    <cs:lnRef idx="0"/>
    <cs:fillRef idx="0"/>
    <cs:effectRef idx="0"/>
    <cs:fontRef idx="minor">
      <a:srgbClr val="008ED3">
        <a:lumMod val="65000"/>
        <a:lumOff val="35000"/>
      </a:srgbClr>
    </cs:fontRef>
    <cs:defRPr sz="900" kern="1200"/>
  </cs:seriesAxis>
  <cs:seriesLine>
    <cs:lnRef idx="0"/>
    <cs:fillRef idx="0"/>
    <cs:effectRef idx="0"/>
    <cs:fontRef idx="minor">
      <a:srgbClr val="008ED3"/>
    </cs:fontRef>
    <cs:spPr>
      <a:ln w="9525" cap="flat" cmpd="sng" algn="ctr">
        <a:solidFill>
          <a:srgbClr val="008ED3">
            <a:lumMod val="35000"/>
            <a:lumOff val="65000"/>
          </a:srgbClr>
        </a:solidFill>
        <a:round/>
      </a:ln>
    </cs:spPr>
  </cs:seriesLine>
  <cs:title>
    <cs:lnRef idx="0"/>
    <cs:fillRef idx="0"/>
    <cs:effectRef idx="0"/>
    <cs:fontRef idx="minor">
      <a:srgbClr val="008ED3">
        <a:lumMod val="65000"/>
        <a:lumOff val="35000"/>
      </a:srgbClr>
    </cs:fontRef>
    <cs:defRPr sz="1400" b="0" kern="1200" spc="0" baseline="0"/>
  </cs:title>
  <cs:trendline>
    <cs:lnRef idx="0">
      <cs:styleClr val="auto"/>
    </cs:lnRef>
    <cs:fillRef idx="0"/>
    <cs:effectRef idx="0"/>
    <cs:fontRef idx="minor">
      <a:srgbClr val="008ED3"/>
    </cs:fontRef>
    <cs:spPr>
      <a:ln w="19050" cap="rnd">
        <a:solidFill>
          <a:schemeClr val="phClr"/>
        </a:solidFill>
        <a:prstDash val="sysDot"/>
      </a:ln>
    </cs:spPr>
  </cs:trendline>
  <cs:trendlineLabel>
    <cs:lnRef idx="0"/>
    <cs:fillRef idx="0"/>
    <cs:effectRef idx="0"/>
    <cs:fontRef idx="minor">
      <a:srgbClr val="008ED3">
        <a:lumMod val="65000"/>
        <a:lumOff val="35000"/>
      </a:srgbClr>
    </cs:fontRef>
    <cs:defRPr sz="900" kern="1200"/>
  </cs:trendlineLabel>
  <cs:upBar>
    <cs:lnRef idx="0"/>
    <cs:fillRef idx="0"/>
    <cs:effectRef idx="0"/>
    <cs:fontRef idx="minor">
      <a:srgbClr val="008ED3"/>
    </cs:fontRef>
    <cs:spPr>
      <a:solidFill>
        <a:srgbClr val="FFFFFF"/>
      </a:solidFill>
      <a:ln w="9525">
        <a:solidFill>
          <a:srgbClr val="008ED3">
            <a:lumMod val="15000"/>
            <a:lumOff val="85000"/>
          </a:srgbClr>
        </a:solidFill>
      </a:ln>
    </cs:spPr>
  </cs:upBar>
  <cs:valueAxis>
    <cs:lnRef idx="0"/>
    <cs:fillRef idx="0"/>
    <cs:effectRef idx="0"/>
    <cs:fontRef idx="minor">
      <a:srgbClr val="008ED3">
        <a:lumMod val="65000"/>
        <a:lumOff val="35000"/>
      </a:srgbClr>
    </cs:fontRef>
    <cs:defRPr sz="900" kern="1200"/>
  </cs:valueAxis>
  <cs:wall>
    <cs:lnRef idx="0"/>
    <cs:fillRef idx="0"/>
    <cs:effectRef idx="0"/>
    <cs:fontRef idx="minor">
      <a:srgbClr val="008ED3"/>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rgbClr val="008ED3">
        <a:lumMod val="65000"/>
        <a:lumOff val="35000"/>
      </a:srgbClr>
    </cs:fontRef>
    <cs:defRPr sz="1000" kern="1200"/>
  </cs:axisTitle>
  <cs:categoryAxis>
    <cs:lnRef idx="0"/>
    <cs:fillRef idx="0"/>
    <cs:effectRef idx="0"/>
    <cs:fontRef idx="minor">
      <a:srgbClr val="008ED3">
        <a:lumMod val="65000"/>
        <a:lumOff val="35000"/>
      </a:srgbClr>
    </cs:fontRef>
    <cs:spPr>
      <a:ln w="9525" cap="flat" cmpd="sng" algn="ctr">
        <a:solidFill>
          <a:srgbClr val="008ED3">
            <a:lumMod val="15000"/>
            <a:lumOff val="85000"/>
          </a:srgbClr>
        </a:solidFill>
        <a:round/>
      </a:ln>
    </cs:spPr>
    <cs:defRPr sz="900" kern="1200"/>
  </cs:categoryAxis>
  <cs:chartArea mods="allowNoFillOverride allowNoLineOverride">
    <cs:lnRef idx="0"/>
    <cs:fillRef idx="0"/>
    <cs:effectRef idx="0"/>
    <cs:fontRef idx="minor">
      <a:srgbClr val="008ED3"/>
    </cs:fontRef>
    <cs:spPr>
      <a:solidFill>
        <a:srgbClr val="FFFFFF"/>
      </a:solidFill>
      <a:ln w="9525" cap="flat" cmpd="sng" algn="ctr">
        <a:solidFill>
          <a:srgbClr val="008ED3">
            <a:lumMod val="15000"/>
            <a:lumOff val="85000"/>
          </a:srgbClr>
        </a:solidFill>
        <a:round/>
      </a:ln>
    </cs:spPr>
    <cs:defRPr sz="1000" kern="1200"/>
  </cs:chartArea>
  <cs:dataLabel>
    <cs:lnRef idx="0"/>
    <cs:fillRef idx="0"/>
    <cs:effectRef idx="0"/>
    <cs:fontRef idx="minor">
      <a:srgbClr val="008ED3">
        <a:lumMod val="75000"/>
        <a:lumOff val="25000"/>
      </a:srgbClr>
    </cs:fontRef>
    <cs:defRPr sz="900" kern="1200"/>
  </cs:dataLabel>
  <cs:dataLabelCallout>
    <cs:lnRef idx="0"/>
    <cs:fillRef idx="0"/>
    <cs:effectRef idx="0"/>
    <cs:fontRef idx="minor">
      <a:srgbClr val="008ED3">
        <a:lumMod val="65000"/>
        <a:lumOff val="35000"/>
      </a:srgbClr>
    </cs:fontRef>
    <cs:spPr>
      <a:solidFill>
        <a:srgbClr val="FFFFFF"/>
      </a:solidFill>
      <a:ln>
        <a:solidFill>
          <a:srgbClr val="008ED3">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8ED3"/>
    </cs:fontRef>
  </cs:dataPoint>
  <cs:dataPoint3D>
    <cs:lnRef idx="0"/>
    <cs:fillRef idx="1">
      <cs:styleClr val="auto"/>
    </cs:fillRef>
    <cs:effectRef idx="0"/>
    <cs:fontRef idx="minor">
      <a:srgbClr val="008ED3"/>
    </cs:fontRef>
  </cs:dataPoint3D>
  <cs:dataPointLine>
    <cs:lnRef idx="0">
      <cs:styleClr val="auto"/>
    </cs:lnRef>
    <cs:fillRef idx="1"/>
    <cs:effectRef idx="0"/>
    <cs:fontRef idx="minor">
      <a:srgbClr val="008ED3"/>
    </cs:fontRef>
    <cs:spPr>
      <a:ln w="28575" cap="rnd">
        <a:solidFill>
          <a:schemeClr val="phClr"/>
        </a:solidFill>
        <a:round/>
      </a:ln>
    </cs:spPr>
  </cs:dataPointLine>
  <cs:dataPointMarker>
    <cs:lnRef idx="0">
      <cs:styleClr val="auto"/>
    </cs:lnRef>
    <cs:fillRef idx="1">
      <cs:styleClr val="auto"/>
    </cs:fillRef>
    <cs:effectRef idx="0"/>
    <cs:fontRef idx="minor">
      <a:srgbClr val="008ED3"/>
    </cs:fontRef>
    <cs:spPr>
      <a:ln w="9525">
        <a:solidFill>
          <a:schemeClr val="phClr"/>
        </a:solidFill>
      </a:ln>
    </cs:spPr>
  </cs:dataPointMarker>
  <cs:dataPointMarkerLayout symbol="circle" size="5"/>
  <cs:dataPointWireframe>
    <cs:lnRef idx="0">
      <cs:styleClr val="auto"/>
    </cs:lnRef>
    <cs:fillRef idx="1"/>
    <cs:effectRef idx="0"/>
    <cs:fontRef idx="minor">
      <a:srgbClr val="008ED3"/>
    </cs:fontRef>
    <cs:spPr>
      <a:ln w="9525" cap="rnd">
        <a:solidFill>
          <a:schemeClr val="phClr"/>
        </a:solidFill>
        <a:round/>
      </a:ln>
    </cs:spPr>
  </cs:dataPointWireframe>
  <cs:dataTable>
    <cs:lnRef idx="0"/>
    <cs:fillRef idx="0"/>
    <cs:effectRef idx="0"/>
    <cs:fontRef idx="minor">
      <a:srgbClr val="008ED3">
        <a:lumMod val="65000"/>
        <a:lumOff val="35000"/>
      </a:srgbClr>
    </cs:fontRef>
    <cs:spPr>
      <a:noFill/>
      <a:ln w="9525" cap="flat" cmpd="sng" algn="ctr">
        <a:solidFill>
          <a:srgbClr val="008ED3">
            <a:lumMod val="15000"/>
            <a:lumOff val="85000"/>
          </a:srgbClr>
        </a:solidFill>
        <a:round/>
      </a:ln>
    </cs:spPr>
    <cs:defRPr sz="900" kern="1200"/>
  </cs:dataTable>
  <cs:downBar>
    <cs:lnRef idx="0"/>
    <cs:fillRef idx="0"/>
    <cs:effectRef idx="0"/>
    <cs:fontRef idx="minor">
      <a:srgbClr val="008ED3"/>
    </cs:fontRef>
    <cs:spPr>
      <a:solidFill>
        <a:srgbClr val="008ED3">
          <a:lumMod val="65000"/>
          <a:lumOff val="35000"/>
        </a:srgbClr>
      </a:solidFill>
      <a:ln w="9525">
        <a:solidFill>
          <a:srgbClr val="008ED3">
            <a:lumMod val="65000"/>
            <a:lumOff val="35000"/>
          </a:srgbClr>
        </a:solidFill>
      </a:ln>
    </cs:spPr>
  </cs:downBar>
  <cs:dropLine>
    <cs:lnRef idx="0"/>
    <cs:fillRef idx="0"/>
    <cs:effectRef idx="0"/>
    <cs:fontRef idx="minor">
      <a:srgbClr val="008ED3"/>
    </cs:fontRef>
    <cs:spPr>
      <a:ln w="9525" cap="flat" cmpd="sng" algn="ctr">
        <a:solidFill>
          <a:srgbClr val="008ED3">
            <a:lumMod val="35000"/>
            <a:lumOff val="65000"/>
          </a:srgbClr>
        </a:solidFill>
        <a:round/>
      </a:ln>
    </cs:spPr>
  </cs:dropLine>
  <cs:errorBar>
    <cs:lnRef idx="0"/>
    <cs:fillRef idx="0"/>
    <cs:effectRef idx="0"/>
    <cs:fontRef idx="minor">
      <a:srgbClr val="008ED3"/>
    </cs:fontRef>
    <cs:spPr>
      <a:ln w="9525" cap="flat" cmpd="sng" algn="ctr">
        <a:solidFill>
          <a:srgbClr val="008ED3">
            <a:lumMod val="65000"/>
            <a:lumOff val="35000"/>
          </a:srgbClr>
        </a:solidFill>
        <a:round/>
      </a:ln>
    </cs:spPr>
  </cs:errorBar>
  <cs:floor>
    <cs:lnRef idx="0"/>
    <cs:fillRef idx="0"/>
    <cs:effectRef idx="0"/>
    <cs:fontRef idx="minor">
      <a:srgbClr val="008ED3"/>
    </cs:fontRef>
    <cs:spPr>
      <a:noFill/>
      <a:ln>
        <a:noFill/>
      </a:ln>
    </cs:spPr>
  </cs:floor>
  <cs:gridlineMajor>
    <cs:lnRef idx="0"/>
    <cs:fillRef idx="0"/>
    <cs:effectRef idx="0"/>
    <cs:fontRef idx="minor">
      <a:srgbClr val="008ED3"/>
    </cs:fontRef>
    <cs:spPr>
      <a:ln w="9525" cap="flat" cmpd="sng" algn="ctr">
        <a:solidFill>
          <a:srgbClr val="008ED3">
            <a:lumMod val="15000"/>
            <a:lumOff val="85000"/>
          </a:srgbClr>
        </a:solidFill>
        <a:round/>
      </a:ln>
    </cs:spPr>
  </cs:gridlineMajor>
  <cs:gridlineMinor>
    <cs:lnRef idx="0"/>
    <cs:fillRef idx="0"/>
    <cs:effectRef idx="0"/>
    <cs:fontRef idx="minor">
      <a:srgbClr val="008ED3"/>
    </cs:fontRef>
    <cs:spPr>
      <a:ln w="9525" cap="flat" cmpd="sng" algn="ctr">
        <a:solidFill>
          <a:srgbClr val="008ED3">
            <a:lumMod val="5000"/>
            <a:lumOff val="95000"/>
          </a:srgbClr>
        </a:solidFill>
        <a:round/>
      </a:ln>
    </cs:spPr>
  </cs:gridlineMinor>
  <cs:hiLoLine>
    <cs:lnRef idx="0"/>
    <cs:fillRef idx="0"/>
    <cs:effectRef idx="0"/>
    <cs:fontRef idx="minor">
      <a:srgbClr val="008ED3"/>
    </cs:fontRef>
    <cs:spPr>
      <a:ln w="9525" cap="flat" cmpd="sng" algn="ctr">
        <a:solidFill>
          <a:srgbClr val="008ED3">
            <a:lumMod val="75000"/>
            <a:lumOff val="25000"/>
          </a:srgbClr>
        </a:solidFill>
        <a:round/>
      </a:ln>
    </cs:spPr>
  </cs:hiLoLine>
  <cs:leaderLine>
    <cs:lnRef idx="0"/>
    <cs:fillRef idx="0"/>
    <cs:effectRef idx="0"/>
    <cs:fontRef idx="minor">
      <a:srgbClr val="008ED3"/>
    </cs:fontRef>
    <cs:spPr>
      <a:ln w="9525" cap="flat" cmpd="sng" algn="ctr">
        <a:solidFill>
          <a:srgbClr val="008ED3">
            <a:lumMod val="35000"/>
            <a:lumOff val="65000"/>
          </a:srgbClr>
        </a:solidFill>
        <a:round/>
      </a:ln>
    </cs:spPr>
  </cs:leaderLine>
  <cs:legend>
    <cs:lnRef idx="0"/>
    <cs:fillRef idx="0"/>
    <cs:effectRef idx="0"/>
    <cs:fontRef idx="minor">
      <a:srgbClr val="008ED3">
        <a:lumMod val="65000"/>
        <a:lumOff val="35000"/>
      </a:srgbClr>
    </cs:fontRef>
    <cs:defRPr sz="900" kern="1200"/>
  </cs:legend>
  <cs:plotArea mods="allowNoFillOverride allowNoLineOverride">
    <cs:lnRef idx="0"/>
    <cs:fillRef idx="0"/>
    <cs:effectRef idx="0"/>
    <cs:fontRef idx="minor">
      <a:srgbClr val="008ED3"/>
    </cs:fontRef>
  </cs:plotArea>
  <cs:plotArea3D mods="allowNoFillOverride allowNoLineOverride">
    <cs:lnRef idx="0"/>
    <cs:fillRef idx="0"/>
    <cs:effectRef idx="0"/>
    <cs:fontRef idx="minor">
      <a:srgbClr val="008ED3"/>
    </cs:fontRef>
  </cs:plotArea3D>
  <cs:seriesAxis>
    <cs:lnRef idx="0"/>
    <cs:fillRef idx="0"/>
    <cs:effectRef idx="0"/>
    <cs:fontRef idx="minor">
      <a:srgbClr val="008ED3">
        <a:lumMod val="65000"/>
        <a:lumOff val="35000"/>
      </a:srgbClr>
    </cs:fontRef>
    <cs:defRPr sz="900" kern="1200"/>
  </cs:seriesAxis>
  <cs:seriesLine>
    <cs:lnRef idx="0"/>
    <cs:fillRef idx="0"/>
    <cs:effectRef idx="0"/>
    <cs:fontRef idx="minor">
      <a:srgbClr val="008ED3"/>
    </cs:fontRef>
    <cs:spPr>
      <a:ln w="9525" cap="flat" cmpd="sng" algn="ctr">
        <a:solidFill>
          <a:srgbClr val="008ED3">
            <a:lumMod val="35000"/>
            <a:lumOff val="65000"/>
          </a:srgbClr>
        </a:solidFill>
        <a:round/>
      </a:ln>
    </cs:spPr>
  </cs:seriesLine>
  <cs:title>
    <cs:lnRef idx="0"/>
    <cs:fillRef idx="0"/>
    <cs:effectRef idx="0"/>
    <cs:fontRef idx="minor">
      <a:srgbClr val="008ED3">
        <a:lumMod val="65000"/>
        <a:lumOff val="35000"/>
      </a:srgbClr>
    </cs:fontRef>
    <cs:defRPr sz="1400" b="0" kern="1200" spc="0" baseline="0"/>
  </cs:title>
  <cs:trendline>
    <cs:lnRef idx="0">
      <cs:styleClr val="auto"/>
    </cs:lnRef>
    <cs:fillRef idx="0"/>
    <cs:effectRef idx="0"/>
    <cs:fontRef idx="minor">
      <a:srgbClr val="008ED3"/>
    </cs:fontRef>
    <cs:spPr>
      <a:ln w="19050" cap="rnd">
        <a:solidFill>
          <a:schemeClr val="phClr"/>
        </a:solidFill>
        <a:prstDash val="sysDot"/>
      </a:ln>
    </cs:spPr>
  </cs:trendline>
  <cs:trendlineLabel>
    <cs:lnRef idx="0"/>
    <cs:fillRef idx="0"/>
    <cs:effectRef idx="0"/>
    <cs:fontRef idx="minor">
      <a:srgbClr val="008ED3">
        <a:lumMod val="65000"/>
        <a:lumOff val="35000"/>
      </a:srgbClr>
    </cs:fontRef>
    <cs:defRPr sz="900" kern="1200"/>
  </cs:trendlineLabel>
  <cs:upBar>
    <cs:lnRef idx="0"/>
    <cs:fillRef idx="0"/>
    <cs:effectRef idx="0"/>
    <cs:fontRef idx="minor">
      <a:srgbClr val="008ED3"/>
    </cs:fontRef>
    <cs:spPr>
      <a:solidFill>
        <a:srgbClr val="FFFFFF"/>
      </a:solidFill>
      <a:ln w="9525">
        <a:solidFill>
          <a:srgbClr val="008ED3">
            <a:lumMod val="15000"/>
            <a:lumOff val="85000"/>
          </a:srgbClr>
        </a:solidFill>
      </a:ln>
    </cs:spPr>
  </cs:upBar>
  <cs:valueAxis>
    <cs:lnRef idx="0"/>
    <cs:fillRef idx="0"/>
    <cs:effectRef idx="0"/>
    <cs:fontRef idx="minor">
      <a:srgbClr val="008ED3">
        <a:lumMod val="65000"/>
        <a:lumOff val="35000"/>
      </a:srgbClr>
    </cs:fontRef>
    <cs:defRPr sz="900" kern="1200"/>
  </cs:valueAxis>
  <cs:wall>
    <cs:lnRef idx="0"/>
    <cs:fillRef idx="0"/>
    <cs:effectRef idx="0"/>
    <cs:fontRef idx="minor">
      <a:srgbClr val="008ED3"/>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rgbClr val="008ED3">
        <a:lumMod val="65000"/>
        <a:lumOff val="35000"/>
      </a:srgbClr>
    </cs:fontRef>
    <cs:defRPr sz="1000" kern="1200"/>
  </cs:axisTitle>
  <cs:categoryAxis>
    <cs:lnRef idx="0"/>
    <cs:fillRef idx="0"/>
    <cs:effectRef idx="0"/>
    <cs:fontRef idx="minor">
      <a:srgbClr val="008ED3">
        <a:lumMod val="65000"/>
        <a:lumOff val="35000"/>
      </a:srgbClr>
    </cs:fontRef>
    <cs:spPr>
      <a:ln w="9525" cap="flat" cmpd="sng" algn="ctr">
        <a:solidFill>
          <a:srgbClr val="008ED3">
            <a:lumMod val="15000"/>
            <a:lumOff val="85000"/>
          </a:srgbClr>
        </a:solidFill>
        <a:round/>
      </a:ln>
    </cs:spPr>
    <cs:defRPr sz="900" kern="1200"/>
  </cs:categoryAxis>
  <cs:chartArea mods="allowNoFillOverride allowNoLineOverride">
    <cs:lnRef idx="0"/>
    <cs:fillRef idx="0"/>
    <cs:effectRef idx="0"/>
    <cs:fontRef idx="minor">
      <a:srgbClr val="008ED3"/>
    </cs:fontRef>
    <cs:spPr>
      <a:solidFill>
        <a:srgbClr val="FFFFFF"/>
      </a:solidFill>
      <a:ln w="9525" cap="flat" cmpd="sng" algn="ctr">
        <a:solidFill>
          <a:srgbClr val="008ED3">
            <a:lumMod val="15000"/>
            <a:lumOff val="85000"/>
          </a:srgbClr>
        </a:solidFill>
        <a:round/>
      </a:ln>
    </cs:spPr>
    <cs:defRPr sz="1000" kern="1200"/>
  </cs:chartArea>
  <cs:dataLabel>
    <cs:lnRef idx="0"/>
    <cs:fillRef idx="0"/>
    <cs:effectRef idx="0"/>
    <cs:fontRef idx="minor">
      <a:srgbClr val="008ED3">
        <a:lumMod val="75000"/>
        <a:lumOff val="25000"/>
      </a:srgbClr>
    </cs:fontRef>
    <cs:defRPr sz="900" kern="1200"/>
  </cs:dataLabel>
  <cs:dataLabelCallout>
    <cs:lnRef idx="0"/>
    <cs:fillRef idx="0"/>
    <cs:effectRef idx="0"/>
    <cs:fontRef idx="minor">
      <a:srgbClr val="008ED3">
        <a:lumMod val="65000"/>
        <a:lumOff val="35000"/>
      </a:srgbClr>
    </cs:fontRef>
    <cs:spPr>
      <a:solidFill>
        <a:srgbClr val="FFFFFF"/>
      </a:solidFill>
      <a:ln>
        <a:solidFill>
          <a:srgbClr val="008ED3">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8ED3"/>
    </cs:fontRef>
  </cs:dataPoint>
  <cs:dataPoint3D>
    <cs:lnRef idx="0"/>
    <cs:fillRef idx="1">
      <cs:styleClr val="auto"/>
    </cs:fillRef>
    <cs:effectRef idx="0"/>
    <cs:fontRef idx="minor">
      <a:srgbClr val="008ED3"/>
    </cs:fontRef>
  </cs:dataPoint3D>
  <cs:dataPointLine>
    <cs:lnRef idx="0">
      <cs:styleClr val="auto"/>
    </cs:lnRef>
    <cs:fillRef idx="1"/>
    <cs:effectRef idx="0"/>
    <cs:fontRef idx="minor">
      <a:srgbClr val="008ED3"/>
    </cs:fontRef>
    <cs:spPr>
      <a:ln w="28575" cap="rnd">
        <a:solidFill>
          <a:schemeClr val="phClr"/>
        </a:solidFill>
        <a:round/>
      </a:ln>
    </cs:spPr>
  </cs:dataPointLine>
  <cs:dataPointMarker>
    <cs:lnRef idx="0">
      <cs:styleClr val="auto"/>
    </cs:lnRef>
    <cs:fillRef idx="1">
      <cs:styleClr val="auto"/>
    </cs:fillRef>
    <cs:effectRef idx="0"/>
    <cs:fontRef idx="minor">
      <a:srgbClr val="008ED3"/>
    </cs:fontRef>
    <cs:spPr>
      <a:ln w="9525">
        <a:solidFill>
          <a:schemeClr val="phClr"/>
        </a:solidFill>
      </a:ln>
    </cs:spPr>
  </cs:dataPointMarker>
  <cs:dataPointMarkerLayout symbol="circle" size="5"/>
  <cs:dataPointWireframe>
    <cs:lnRef idx="0">
      <cs:styleClr val="auto"/>
    </cs:lnRef>
    <cs:fillRef idx="1"/>
    <cs:effectRef idx="0"/>
    <cs:fontRef idx="minor">
      <a:srgbClr val="008ED3"/>
    </cs:fontRef>
    <cs:spPr>
      <a:ln w="9525" cap="rnd">
        <a:solidFill>
          <a:schemeClr val="phClr"/>
        </a:solidFill>
        <a:round/>
      </a:ln>
    </cs:spPr>
  </cs:dataPointWireframe>
  <cs:dataTable>
    <cs:lnRef idx="0"/>
    <cs:fillRef idx="0"/>
    <cs:effectRef idx="0"/>
    <cs:fontRef idx="minor">
      <a:srgbClr val="008ED3">
        <a:lumMod val="65000"/>
        <a:lumOff val="35000"/>
      </a:srgbClr>
    </cs:fontRef>
    <cs:spPr>
      <a:noFill/>
      <a:ln w="9525" cap="flat" cmpd="sng" algn="ctr">
        <a:solidFill>
          <a:srgbClr val="008ED3">
            <a:lumMod val="15000"/>
            <a:lumOff val="85000"/>
          </a:srgbClr>
        </a:solidFill>
        <a:round/>
      </a:ln>
    </cs:spPr>
    <cs:defRPr sz="900" kern="1200"/>
  </cs:dataTable>
  <cs:downBar>
    <cs:lnRef idx="0"/>
    <cs:fillRef idx="0"/>
    <cs:effectRef idx="0"/>
    <cs:fontRef idx="minor">
      <a:srgbClr val="008ED3"/>
    </cs:fontRef>
    <cs:spPr>
      <a:solidFill>
        <a:srgbClr val="008ED3">
          <a:lumMod val="65000"/>
          <a:lumOff val="35000"/>
        </a:srgbClr>
      </a:solidFill>
      <a:ln w="9525">
        <a:solidFill>
          <a:srgbClr val="008ED3">
            <a:lumMod val="65000"/>
            <a:lumOff val="35000"/>
          </a:srgbClr>
        </a:solidFill>
      </a:ln>
    </cs:spPr>
  </cs:downBar>
  <cs:dropLine>
    <cs:lnRef idx="0"/>
    <cs:fillRef idx="0"/>
    <cs:effectRef idx="0"/>
    <cs:fontRef idx="minor">
      <a:srgbClr val="008ED3"/>
    </cs:fontRef>
    <cs:spPr>
      <a:ln w="9525" cap="flat" cmpd="sng" algn="ctr">
        <a:solidFill>
          <a:srgbClr val="008ED3">
            <a:lumMod val="35000"/>
            <a:lumOff val="65000"/>
          </a:srgbClr>
        </a:solidFill>
        <a:round/>
      </a:ln>
    </cs:spPr>
  </cs:dropLine>
  <cs:errorBar>
    <cs:lnRef idx="0"/>
    <cs:fillRef idx="0"/>
    <cs:effectRef idx="0"/>
    <cs:fontRef idx="minor">
      <a:srgbClr val="008ED3"/>
    </cs:fontRef>
    <cs:spPr>
      <a:ln w="9525" cap="flat" cmpd="sng" algn="ctr">
        <a:solidFill>
          <a:srgbClr val="008ED3">
            <a:lumMod val="65000"/>
            <a:lumOff val="35000"/>
          </a:srgbClr>
        </a:solidFill>
        <a:round/>
      </a:ln>
    </cs:spPr>
  </cs:errorBar>
  <cs:floor>
    <cs:lnRef idx="0"/>
    <cs:fillRef idx="0"/>
    <cs:effectRef idx="0"/>
    <cs:fontRef idx="minor">
      <a:srgbClr val="008ED3"/>
    </cs:fontRef>
    <cs:spPr>
      <a:noFill/>
      <a:ln>
        <a:noFill/>
      </a:ln>
    </cs:spPr>
  </cs:floor>
  <cs:gridlineMajor>
    <cs:lnRef idx="0"/>
    <cs:fillRef idx="0"/>
    <cs:effectRef idx="0"/>
    <cs:fontRef idx="minor">
      <a:srgbClr val="008ED3"/>
    </cs:fontRef>
    <cs:spPr>
      <a:ln w="9525" cap="flat" cmpd="sng" algn="ctr">
        <a:solidFill>
          <a:srgbClr val="008ED3">
            <a:lumMod val="15000"/>
            <a:lumOff val="85000"/>
          </a:srgbClr>
        </a:solidFill>
        <a:round/>
      </a:ln>
    </cs:spPr>
  </cs:gridlineMajor>
  <cs:gridlineMinor>
    <cs:lnRef idx="0"/>
    <cs:fillRef idx="0"/>
    <cs:effectRef idx="0"/>
    <cs:fontRef idx="minor">
      <a:srgbClr val="008ED3"/>
    </cs:fontRef>
    <cs:spPr>
      <a:ln w="9525" cap="flat" cmpd="sng" algn="ctr">
        <a:solidFill>
          <a:srgbClr val="008ED3">
            <a:lumMod val="5000"/>
            <a:lumOff val="95000"/>
          </a:srgbClr>
        </a:solidFill>
        <a:round/>
      </a:ln>
    </cs:spPr>
  </cs:gridlineMinor>
  <cs:hiLoLine>
    <cs:lnRef idx="0"/>
    <cs:fillRef idx="0"/>
    <cs:effectRef idx="0"/>
    <cs:fontRef idx="minor">
      <a:srgbClr val="008ED3"/>
    </cs:fontRef>
    <cs:spPr>
      <a:ln w="9525" cap="flat" cmpd="sng" algn="ctr">
        <a:solidFill>
          <a:srgbClr val="008ED3">
            <a:lumMod val="75000"/>
            <a:lumOff val="25000"/>
          </a:srgbClr>
        </a:solidFill>
        <a:round/>
      </a:ln>
    </cs:spPr>
  </cs:hiLoLine>
  <cs:leaderLine>
    <cs:lnRef idx="0"/>
    <cs:fillRef idx="0"/>
    <cs:effectRef idx="0"/>
    <cs:fontRef idx="minor">
      <a:srgbClr val="008ED3"/>
    </cs:fontRef>
    <cs:spPr>
      <a:ln w="9525" cap="flat" cmpd="sng" algn="ctr">
        <a:solidFill>
          <a:srgbClr val="008ED3">
            <a:lumMod val="35000"/>
            <a:lumOff val="65000"/>
          </a:srgbClr>
        </a:solidFill>
        <a:round/>
      </a:ln>
    </cs:spPr>
  </cs:leaderLine>
  <cs:legend>
    <cs:lnRef idx="0"/>
    <cs:fillRef idx="0"/>
    <cs:effectRef idx="0"/>
    <cs:fontRef idx="minor">
      <a:srgbClr val="008ED3">
        <a:lumMod val="65000"/>
        <a:lumOff val="35000"/>
      </a:srgbClr>
    </cs:fontRef>
    <cs:defRPr sz="900" kern="1200"/>
  </cs:legend>
  <cs:plotArea mods="allowNoFillOverride allowNoLineOverride">
    <cs:lnRef idx="0"/>
    <cs:fillRef idx="0"/>
    <cs:effectRef idx="0"/>
    <cs:fontRef idx="minor">
      <a:srgbClr val="008ED3"/>
    </cs:fontRef>
  </cs:plotArea>
  <cs:plotArea3D mods="allowNoFillOverride allowNoLineOverride">
    <cs:lnRef idx="0"/>
    <cs:fillRef idx="0"/>
    <cs:effectRef idx="0"/>
    <cs:fontRef idx="minor">
      <a:srgbClr val="008ED3"/>
    </cs:fontRef>
  </cs:plotArea3D>
  <cs:seriesAxis>
    <cs:lnRef idx="0"/>
    <cs:fillRef idx="0"/>
    <cs:effectRef idx="0"/>
    <cs:fontRef idx="minor">
      <a:srgbClr val="008ED3">
        <a:lumMod val="65000"/>
        <a:lumOff val="35000"/>
      </a:srgbClr>
    </cs:fontRef>
    <cs:defRPr sz="900" kern="1200"/>
  </cs:seriesAxis>
  <cs:seriesLine>
    <cs:lnRef idx="0"/>
    <cs:fillRef idx="0"/>
    <cs:effectRef idx="0"/>
    <cs:fontRef idx="minor">
      <a:srgbClr val="008ED3"/>
    </cs:fontRef>
    <cs:spPr>
      <a:ln w="9525" cap="flat" cmpd="sng" algn="ctr">
        <a:solidFill>
          <a:srgbClr val="008ED3">
            <a:lumMod val="35000"/>
            <a:lumOff val="65000"/>
          </a:srgbClr>
        </a:solidFill>
        <a:round/>
      </a:ln>
    </cs:spPr>
  </cs:seriesLine>
  <cs:title>
    <cs:lnRef idx="0"/>
    <cs:fillRef idx="0"/>
    <cs:effectRef idx="0"/>
    <cs:fontRef idx="minor">
      <a:srgbClr val="008ED3">
        <a:lumMod val="65000"/>
        <a:lumOff val="35000"/>
      </a:srgbClr>
    </cs:fontRef>
    <cs:defRPr sz="1400" b="0" kern="1200" spc="0" baseline="0"/>
  </cs:title>
  <cs:trendline>
    <cs:lnRef idx="0">
      <cs:styleClr val="auto"/>
    </cs:lnRef>
    <cs:fillRef idx="0"/>
    <cs:effectRef idx="0"/>
    <cs:fontRef idx="minor">
      <a:srgbClr val="008ED3"/>
    </cs:fontRef>
    <cs:spPr>
      <a:ln w="19050" cap="rnd">
        <a:solidFill>
          <a:schemeClr val="phClr"/>
        </a:solidFill>
        <a:prstDash val="sysDot"/>
      </a:ln>
    </cs:spPr>
  </cs:trendline>
  <cs:trendlineLabel>
    <cs:lnRef idx="0"/>
    <cs:fillRef idx="0"/>
    <cs:effectRef idx="0"/>
    <cs:fontRef idx="minor">
      <a:srgbClr val="008ED3">
        <a:lumMod val="65000"/>
        <a:lumOff val="35000"/>
      </a:srgbClr>
    </cs:fontRef>
    <cs:defRPr sz="900" kern="1200"/>
  </cs:trendlineLabel>
  <cs:upBar>
    <cs:lnRef idx="0"/>
    <cs:fillRef idx="0"/>
    <cs:effectRef idx="0"/>
    <cs:fontRef idx="minor">
      <a:srgbClr val="008ED3"/>
    </cs:fontRef>
    <cs:spPr>
      <a:solidFill>
        <a:srgbClr val="FFFFFF"/>
      </a:solidFill>
      <a:ln w="9525">
        <a:solidFill>
          <a:srgbClr val="008ED3">
            <a:lumMod val="15000"/>
            <a:lumOff val="85000"/>
          </a:srgbClr>
        </a:solidFill>
      </a:ln>
    </cs:spPr>
  </cs:upBar>
  <cs:valueAxis>
    <cs:lnRef idx="0"/>
    <cs:fillRef idx="0"/>
    <cs:effectRef idx="0"/>
    <cs:fontRef idx="minor">
      <a:srgbClr val="008ED3">
        <a:lumMod val="65000"/>
        <a:lumOff val="35000"/>
      </a:srgbClr>
    </cs:fontRef>
    <cs:defRPr sz="900" kern="1200"/>
  </cs:valueAxis>
  <cs:wall>
    <cs:lnRef idx="0"/>
    <cs:fillRef idx="0"/>
    <cs:effectRef idx="0"/>
    <cs:fontRef idx="minor">
      <a:srgbClr val="008ED3"/>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62423-D2C8-4BAE-90E8-2606F91B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34</Pages>
  <Words>12167</Words>
  <Characters>69354</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81359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ZTE</dc:creator>
  <cp:keywords/>
  <dc:description/>
  <cp:lastModifiedBy>ZTE</cp:lastModifiedBy>
  <cp:revision>46</cp:revision>
  <dcterms:created xsi:type="dcterms:W3CDTF">2024-04-05T00:02:00Z</dcterms:created>
  <dcterms:modified xsi:type="dcterms:W3CDTF">2024-04-05T02:46:00Z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D2CF7DB796A54B4F9801CB472998A3FB</vt:lpwstr>
  </property>
</Properties>
</file>